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C0" w:rsidRDefault="002815C0" w:rsidP="002815C0">
      <w:pPr>
        <w:autoSpaceDE w:val="0"/>
        <w:autoSpaceDN w:val="0"/>
        <w:adjustRightInd w:val="0"/>
        <w:rPr>
          <w:rFonts w:eastAsia="TimesNewRomanPS-BoldMT"/>
          <w:bCs/>
          <w:szCs w:val="24"/>
        </w:rPr>
      </w:pPr>
      <w:r w:rsidRPr="002815C0">
        <w:rPr>
          <w:rFonts w:eastAsia="TimesNewRomanPS-BoldMT"/>
          <w:bCs/>
          <w:szCs w:val="24"/>
        </w:rPr>
        <w:t>Текст должен быть связным, с использованием слов «следовательно», «более того», «например», «в результате» и т. д. («</w:t>
      </w:r>
      <w:proofErr w:type="spellStart"/>
      <w:r w:rsidRPr="002815C0">
        <w:rPr>
          <w:rFonts w:eastAsia="TimesNewRomanPS-BoldMT"/>
          <w:bCs/>
          <w:szCs w:val="24"/>
        </w:rPr>
        <w:t>consequently</w:t>
      </w:r>
      <w:proofErr w:type="spellEnd"/>
      <w:r w:rsidRPr="002815C0">
        <w:rPr>
          <w:rFonts w:eastAsia="TimesNewRomanPS-BoldMT"/>
          <w:bCs/>
          <w:szCs w:val="24"/>
        </w:rPr>
        <w:t>», «</w:t>
      </w:r>
      <w:proofErr w:type="spellStart"/>
      <w:r w:rsidRPr="002815C0">
        <w:rPr>
          <w:rFonts w:eastAsia="TimesNewRomanPS-BoldMT"/>
          <w:bCs/>
          <w:szCs w:val="24"/>
        </w:rPr>
        <w:t>moreover</w:t>
      </w:r>
      <w:proofErr w:type="spellEnd"/>
      <w:r w:rsidRPr="002815C0">
        <w:rPr>
          <w:rFonts w:eastAsia="TimesNewRomanPS-BoldMT"/>
          <w:bCs/>
          <w:szCs w:val="24"/>
        </w:rPr>
        <w:t>», «</w:t>
      </w:r>
      <w:proofErr w:type="spellStart"/>
      <w:r w:rsidRPr="002815C0">
        <w:rPr>
          <w:rFonts w:eastAsia="TimesNewRomanPS-BoldMT"/>
          <w:bCs/>
          <w:szCs w:val="24"/>
        </w:rPr>
        <w:t>for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example</w:t>
      </w:r>
      <w:proofErr w:type="spellEnd"/>
      <w:r w:rsidRPr="002815C0">
        <w:rPr>
          <w:rFonts w:eastAsia="TimesNewRomanPS-BoldMT"/>
          <w:bCs/>
          <w:szCs w:val="24"/>
        </w:rPr>
        <w:t xml:space="preserve">»,» </w:t>
      </w:r>
      <w:proofErr w:type="spellStart"/>
      <w:r w:rsidRPr="002815C0">
        <w:rPr>
          <w:rFonts w:eastAsia="TimesNewRomanPS-BoldMT"/>
          <w:bCs/>
          <w:szCs w:val="24"/>
        </w:rPr>
        <w:t>the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benefits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of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this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study</w:t>
      </w:r>
      <w:proofErr w:type="spellEnd"/>
      <w:r w:rsidRPr="002815C0">
        <w:rPr>
          <w:rFonts w:eastAsia="TimesNewRomanPS-BoldMT"/>
          <w:bCs/>
          <w:szCs w:val="24"/>
        </w:rPr>
        <w:t>», «</w:t>
      </w:r>
      <w:proofErr w:type="spellStart"/>
      <w:r w:rsidRPr="002815C0">
        <w:rPr>
          <w:rFonts w:eastAsia="TimesNewRomanPS-BoldMT"/>
          <w:bCs/>
          <w:szCs w:val="24"/>
        </w:rPr>
        <w:t>as</w:t>
      </w:r>
      <w:proofErr w:type="spellEnd"/>
      <w:r w:rsidRPr="002815C0">
        <w:rPr>
          <w:rFonts w:eastAsia="TimesNewRomanPS-BoldMT"/>
          <w:bCs/>
          <w:szCs w:val="24"/>
        </w:rPr>
        <w:t xml:space="preserve"> a </w:t>
      </w:r>
      <w:proofErr w:type="spellStart"/>
      <w:r w:rsidRPr="002815C0">
        <w:rPr>
          <w:rFonts w:eastAsia="TimesNewRomanPS-BoldMT"/>
          <w:bCs/>
          <w:szCs w:val="24"/>
        </w:rPr>
        <w:t>result</w:t>
      </w:r>
      <w:proofErr w:type="spellEnd"/>
      <w:r w:rsidRPr="002815C0">
        <w:rPr>
          <w:rFonts w:eastAsia="TimesNewRomanPS-BoldMT"/>
          <w:bCs/>
          <w:szCs w:val="24"/>
        </w:rPr>
        <w:t xml:space="preserve">» </w:t>
      </w:r>
      <w:proofErr w:type="spellStart"/>
      <w:r w:rsidRPr="002815C0">
        <w:rPr>
          <w:rFonts w:eastAsia="TimesNewRomanPS-BoldMT"/>
          <w:bCs/>
          <w:szCs w:val="24"/>
        </w:rPr>
        <w:t>etc</w:t>
      </w:r>
      <w:proofErr w:type="spellEnd"/>
      <w:r w:rsidRPr="002815C0">
        <w:rPr>
          <w:rFonts w:eastAsia="TimesNewRomanPS-BoldMT"/>
          <w:bCs/>
          <w:szCs w:val="24"/>
        </w:rPr>
        <w:t>.), разрозненные излагаемые положения должны логично вытекать одн</w:t>
      </w:r>
      <w:r w:rsidR="00F80997">
        <w:rPr>
          <w:rFonts w:eastAsia="TimesNewRomanPS-BoldMT"/>
          <w:bCs/>
          <w:szCs w:val="24"/>
        </w:rPr>
        <w:t>о</w:t>
      </w:r>
      <w:r w:rsidRPr="002815C0">
        <w:rPr>
          <w:rFonts w:eastAsia="TimesNewRomanPS-BoldMT"/>
          <w:bCs/>
          <w:szCs w:val="24"/>
        </w:rPr>
        <w:t xml:space="preserve"> из другого.</w:t>
      </w:r>
    </w:p>
    <w:p w:rsidR="002815C0" w:rsidRPr="002815C0" w:rsidRDefault="002815C0" w:rsidP="002815C0">
      <w:pPr>
        <w:autoSpaceDE w:val="0"/>
        <w:autoSpaceDN w:val="0"/>
        <w:adjustRightInd w:val="0"/>
        <w:rPr>
          <w:rFonts w:eastAsia="TimesNewRomanPS-BoldMT"/>
          <w:bCs/>
          <w:szCs w:val="24"/>
        </w:rPr>
      </w:pPr>
    </w:p>
    <w:p w:rsidR="002815C0" w:rsidRDefault="002815C0" w:rsidP="002815C0">
      <w:pPr>
        <w:autoSpaceDE w:val="0"/>
        <w:autoSpaceDN w:val="0"/>
        <w:adjustRightInd w:val="0"/>
        <w:rPr>
          <w:rFonts w:eastAsia="TimesNewRomanPS-BoldMT"/>
          <w:bCs/>
          <w:szCs w:val="24"/>
        </w:rPr>
      </w:pPr>
      <w:r w:rsidRPr="002815C0">
        <w:rPr>
          <w:rFonts w:eastAsia="TimesNewRomanPS-BoldMT"/>
          <w:bCs/>
          <w:szCs w:val="24"/>
        </w:rPr>
        <w:t xml:space="preserve">При переводе необходимо использовать </w:t>
      </w:r>
      <w:r w:rsidRPr="002815C0">
        <w:rPr>
          <w:rFonts w:eastAsia="TimesNewRomanPS-BoldMT"/>
          <w:b/>
          <w:bCs/>
          <w:szCs w:val="24"/>
        </w:rPr>
        <w:t>активный, а не пассивный залог</w:t>
      </w:r>
      <w:r w:rsidRPr="002815C0">
        <w:rPr>
          <w:rFonts w:eastAsia="TimesNewRomanPS-BoldMT"/>
          <w:bCs/>
          <w:szCs w:val="24"/>
        </w:rPr>
        <w:t>, т. е. «</w:t>
      </w:r>
      <w:proofErr w:type="spellStart"/>
      <w:r w:rsidRPr="002815C0">
        <w:rPr>
          <w:rFonts w:eastAsia="TimesNewRomanPS-BoldMT"/>
          <w:bCs/>
          <w:szCs w:val="24"/>
        </w:rPr>
        <w:t>The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study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tested</w:t>
      </w:r>
      <w:proofErr w:type="spellEnd"/>
      <w:r w:rsidRPr="002815C0">
        <w:rPr>
          <w:rFonts w:eastAsia="TimesNewRomanPS-BoldMT"/>
          <w:bCs/>
          <w:szCs w:val="24"/>
        </w:rPr>
        <w:t>», но не «</w:t>
      </w:r>
      <w:proofErr w:type="spellStart"/>
      <w:r w:rsidRPr="002815C0">
        <w:rPr>
          <w:rFonts w:eastAsia="TimesNewRomanPS-BoldMT"/>
          <w:bCs/>
          <w:szCs w:val="24"/>
        </w:rPr>
        <w:t>It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was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tested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in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this</w:t>
      </w:r>
      <w:proofErr w:type="spellEnd"/>
      <w:r w:rsidRPr="002815C0">
        <w:rPr>
          <w:rFonts w:eastAsia="TimesNewRomanPS-BoldMT"/>
          <w:bCs/>
          <w:szCs w:val="24"/>
        </w:rPr>
        <w:t xml:space="preserve"> </w:t>
      </w:r>
      <w:proofErr w:type="spellStart"/>
      <w:r w:rsidRPr="002815C0">
        <w:rPr>
          <w:rFonts w:eastAsia="TimesNewRomanPS-BoldMT"/>
          <w:bCs/>
          <w:szCs w:val="24"/>
        </w:rPr>
        <w:t>study</w:t>
      </w:r>
      <w:proofErr w:type="spellEnd"/>
      <w:r w:rsidRPr="002815C0">
        <w:rPr>
          <w:rFonts w:eastAsia="TimesNewRomanPS-BoldMT"/>
          <w:bCs/>
          <w:szCs w:val="24"/>
        </w:rPr>
        <w:t>» (частая ошибка российских аннотаций).</w:t>
      </w:r>
    </w:p>
    <w:p w:rsidR="002815C0" w:rsidRDefault="002815C0" w:rsidP="002815C0">
      <w:pPr>
        <w:autoSpaceDE w:val="0"/>
        <w:autoSpaceDN w:val="0"/>
        <w:adjustRightInd w:val="0"/>
        <w:rPr>
          <w:rFonts w:eastAsia="TimesNewRomanPS-BoldMT"/>
          <w:bCs/>
          <w:szCs w:val="24"/>
        </w:rPr>
      </w:pPr>
    </w:p>
    <w:p w:rsidR="00D85006" w:rsidRDefault="002815C0" w:rsidP="00D85006">
      <w:pPr>
        <w:autoSpaceDE w:val="0"/>
        <w:autoSpaceDN w:val="0"/>
        <w:adjustRightInd w:val="0"/>
        <w:rPr>
          <w:rStyle w:val="a5"/>
          <w:color w:val="auto"/>
          <w:szCs w:val="24"/>
          <w:u w:val="none"/>
        </w:rPr>
      </w:pPr>
      <w:r w:rsidRPr="00D85006">
        <w:rPr>
          <w:rFonts w:eastAsia="TimesNewRomanPS-BoldMT"/>
          <w:bCs/>
          <w:szCs w:val="24"/>
          <w:lang w:val="en-US"/>
        </w:rPr>
        <w:t>NB</w:t>
      </w:r>
      <w:r w:rsidRPr="00D85006">
        <w:rPr>
          <w:rFonts w:eastAsia="TimesNewRomanPS-BoldMT"/>
          <w:bCs/>
          <w:szCs w:val="24"/>
        </w:rPr>
        <w:t xml:space="preserve">! Редакция обращается к услугам переводчика, однако мы убедительно просим в авторском переводе названия статьи, аннотации и ключевых слов отмечать </w:t>
      </w:r>
      <w:r w:rsidR="00D85006" w:rsidRPr="00D85006">
        <w:rPr>
          <w:rStyle w:val="a5"/>
          <w:color w:val="auto"/>
          <w:szCs w:val="24"/>
          <w:highlight w:val="magenta"/>
          <w:u w:val="none"/>
        </w:rPr>
        <w:t>малиновым</w:t>
      </w:r>
      <w:r w:rsidR="00D85006" w:rsidRPr="00D85006">
        <w:rPr>
          <w:rFonts w:eastAsia="TimesNewRomanPS-BoldMT"/>
          <w:bCs/>
          <w:szCs w:val="24"/>
          <w:highlight w:val="magenta"/>
        </w:rPr>
        <w:t xml:space="preserve"> </w:t>
      </w:r>
      <w:r w:rsidRPr="00D85006">
        <w:rPr>
          <w:rFonts w:eastAsia="TimesNewRomanPS-BoldMT"/>
          <w:bCs/>
          <w:szCs w:val="24"/>
          <w:highlight w:val="magenta"/>
        </w:rPr>
        <w:t>маркером</w:t>
      </w:r>
      <w:r w:rsidRPr="00D85006">
        <w:rPr>
          <w:rFonts w:eastAsia="TimesNewRomanPS-BoldMT"/>
          <w:bCs/>
          <w:szCs w:val="24"/>
        </w:rPr>
        <w:t xml:space="preserve"> устоявшиеся в английской литературе термины</w:t>
      </w:r>
      <w:r w:rsidR="00D85006">
        <w:rPr>
          <w:rFonts w:eastAsia="TimesNewRomanPS-BoldMT"/>
          <w:bCs/>
          <w:szCs w:val="24"/>
        </w:rPr>
        <w:t xml:space="preserve"> </w:t>
      </w:r>
      <w:r w:rsidR="00D85006" w:rsidRPr="00D85006">
        <w:rPr>
          <w:rStyle w:val="a5"/>
          <w:color w:val="auto"/>
          <w:szCs w:val="24"/>
          <w:u w:val="none"/>
        </w:rPr>
        <w:t>и словосочетания</w:t>
      </w:r>
      <w:r w:rsidRPr="00D85006">
        <w:rPr>
          <w:rFonts w:eastAsia="TimesNewRomanPS-BoldMT"/>
          <w:bCs/>
          <w:szCs w:val="24"/>
        </w:rPr>
        <w:t>, чтобы переводчик не упустил их.</w:t>
      </w:r>
      <w:r w:rsidR="00D85006">
        <w:rPr>
          <w:rFonts w:eastAsia="TimesNewRomanPS-BoldMT"/>
          <w:bCs/>
          <w:szCs w:val="24"/>
        </w:rPr>
        <w:t xml:space="preserve"> </w:t>
      </w:r>
      <w:r w:rsidR="00D85006" w:rsidRPr="00D85006">
        <w:rPr>
          <w:rStyle w:val="a5"/>
          <w:color w:val="auto"/>
          <w:szCs w:val="24"/>
          <w:u w:val="none"/>
        </w:rPr>
        <w:t xml:space="preserve">Нет ни одного переводчика, который бы знал все специальные термины из всех сфер научного знания. </w:t>
      </w:r>
    </w:p>
    <w:p w:rsidR="00860DD4" w:rsidRDefault="00860DD4" w:rsidP="00D85006">
      <w:pPr>
        <w:autoSpaceDE w:val="0"/>
        <w:autoSpaceDN w:val="0"/>
        <w:adjustRightInd w:val="0"/>
        <w:rPr>
          <w:rStyle w:val="a5"/>
          <w:color w:val="auto"/>
          <w:szCs w:val="24"/>
          <w:u w:val="none"/>
        </w:rPr>
      </w:pPr>
    </w:p>
    <w:p w:rsidR="00860DD4" w:rsidRPr="00860DD4" w:rsidRDefault="00860DD4" w:rsidP="00860DD4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60DD4">
        <w:rPr>
          <w:szCs w:val="24"/>
        </w:rPr>
        <w:t>Объем аннотации должен составлять 200-250 слов.</w:t>
      </w:r>
    </w:p>
    <w:p w:rsidR="00860DD4" w:rsidRPr="00860DD4" w:rsidRDefault="00860DD4" w:rsidP="00D85006">
      <w:pPr>
        <w:autoSpaceDE w:val="0"/>
        <w:autoSpaceDN w:val="0"/>
        <w:adjustRightInd w:val="0"/>
        <w:rPr>
          <w:rStyle w:val="a5"/>
          <w:color w:val="auto"/>
          <w:szCs w:val="24"/>
          <w:u w:val="none"/>
        </w:rPr>
      </w:pPr>
    </w:p>
    <w:p w:rsidR="00860DD4" w:rsidRDefault="00860DD4" w:rsidP="00860DD4">
      <w:pPr>
        <w:autoSpaceDE w:val="0"/>
        <w:autoSpaceDN w:val="0"/>
        <w:adjustRightInd w:val="0"/>
        <w:spacing w:line="360" w:lineRule="auto"/>
        <w:rPr>
          <w:rFonts w:eastAsia="TimesNewRomanPS-BoldMT"/>
          <w:bCs/>
          <w:szCs w:val="24"/>
        </w:rPr>
      </w:pPr>
      <w:r w:rsidRPr="00860DD4">
        <w:rPr>
          <w:rFonts w:eastAsia="TimesNewRomanPS-BoldMT"/>
          <w:bCs/>
          <w:szCs w:val="24"/>
        </w:rPr>
        <w:t>Аннотация должна быть структурированной:</w:t>
      </w:r>
      <w:r w:rsidRPr="00860DD4">
        <w:rPr>
          <w:rFonts w:eastAsia="TimesNewRomanPS-BoldMT"/>
          <w:bCs/>
          <w:szCs w:val="24"/>
        </w:rPr>
        <w:t xml:space="preserve"> </w:t>
      </w:r>
      <w:r w:rsidRPr="00860DD4">
        <w:rPr>
          <w:rFonts w:eastAsia="TimesNewRomanPS-BoldMT"/>
          <w:b/>
          <w:bCs/>
          <w:szCs w:val="24"/>
        </w:rPr>
        <w:t xml:space="preserve">Введение </w:t>
      </w:r>
      <w:r w:rsidRPr="00860DD4">
        <w:rPr>
          <w:rFonts w:eastAsia="TimesNewRomanPS-BoldMT"/>
          <w:b/>
          <w:bCs/>
          <w:szCs w:val="24"/>
        </w:rPr>
        <w:t>(</w:t>
      </w:r>
      <w:r w:rsidRPr="00860DD4">
        <w:rPr>
          <w:rFonts w:eastAsia="TimesNewRomanPS-BoldMT"/>
          <w:b/>
          <w:bCs/>
          <w:szCs w:val="24"/>
          <w:lang w:val="en-US"/>
        </w:rPr>
        <w:t>Introduction</w:t>
      </w:r>
      <w:r w:rsidRPr="00860DD4">
        <w:rPr>
          <w:rFonts w:eastAsia="TimesNewRomanPS-BoldMT"/>
          <w:b/>
          <w:bCs/>
          <w:szCs w:val="24"/>
        </w:rPr>
        <w:t>)</w:t>
      </w:r>
      <w:r w:rsidRPr="00860DD4">
        <w:rPr>
          <w:rFonts w:eastAsia="TimesNewRomanPS-BoldMT"/>
          <w:bCs/>
          <w:szCs w:val="24"/>
        </w:rPr>
        <w:t>,</w:t>
      </w:r>
      <w:r>
        <w:rPr>
          <w:rFonts w:eastAsia="TimesNewRomanPS-BoldMT"/>
          <w:bCs/>
          <w:szCs w:val="24"/>
        </w:rPr>
        <w:t xml:space="preserve"> </w:t>
      </w:r>
      <w:r w:rsidRPr="00860DD4">
        <w:rPr>
          <w:rFonts w:eastAsia="TimesNewRomanPS-BoldMT"/>
          <w:b/>
          <w:bCs/>
          <w:szCs w:val="24"/>
        </w:rPr>
        <w:t>Цель</w:t>
      </w:r>
      <w:r w:rsidRPr="00860DD4">
        <w:rPr>
          <w:rFonts w:eastAsia="TimesNewRomanPS-BoldMT"/>
          <w:b/>
          <w:bCs/>
          <w:szCs w:val="24"/>
        </w:rPr>
        <w:t xml:space="preserve"> исследования</w:t>
      </w:r>
      <w:r w:rsidRPr="00860DD4">
        <w:rPr>
          <w:rFonts w:eastAsia="TimesNewRomanPS-BoldMT"/>
          <w:b/>
          <w:bCs/>
          <w:szCs w:val="24"/>
        </w:rPr>
        <w:t xml:space="preserve"> (</w:t>
      </w:r>
      <w:r w:rsidRPr="00860DD4">
        <w:rPr>
          <w:rFonts w:eastAsia="TimesNewRomanPS-BoldMT"/>
          <w:b/>
          <w:bCs/>
          <w:szCs w:val="24"/>
          <w:lang w:val="en-US"/>
        </w:rPr>
        <w:t>Purpose</w:t>
      </w:r>
      <w:r w:rsidRPr="00860DD4">
        <w:rPr>
          <w:rFonts w:eastAsia="TimesNewRomanPS-BoldMT"/>
          <w:b/>
          <w:bCs/>
          <w:szCs w:val="24"/>
        </w:rPr>
        <w:t>)</w:t>
      </w:r>
      <w:r w:rsidRPr="00860DD4">
        <w:rPr>
          <w:rFonts w:eastAsia="TimesNewRomanPS-BoldMT"/>
          <w:bCs/>
          <w:szCs w:val="24"/>
        </w:rPr>
        <w:t xml:space="preserve">, </w:t>
      </w:r>
      <w:r w:rsidRPr="00EE51B1">
        <w:rPr>
          <w:b/>
        </w:rPr>
        <w:t>Методы</w:t>
      </w:r>
      <w:r>
        <w:rPr>
          <w:b/>
        </w:rPr>
        <w:t xml:space="preserve"> (</w:t>
      </w:r>
      <w:r w:rsidRPr="00EE51B1">
        <w:rPr>
          <w:b/>
          <w:lang w:val="en-US"/>
        </w:rPr>
        <w:t>Methods</w:t>
      </w:r>
      <w:r>
        <w:rPr>
          <w:b/>
        </w:rPr>
        <w:t xml:space="preserve">) – </w:t>
      </w:r>
      <w:r w:rsidRPr="00860DD4">
        <w:t>в том случае, если для данного исследования был разработан особый метод,</w:t>
      </w:r>
      <w:r>
        <w:rPr>
          <w:b/>
        </w:rPr>
        <w:t xml:space="preserve"> </w:t>
      </w:r>
      <w:r w:rsidRPr="0040513D">
        <w:t>в противном случае этот раздел лучше опустить,</w:t>
      </w:r>
      <w:r>
        <w:rPr>
          <w:b/>
        </w:rPr>
        <w:t xml:space="preserve"> </w:t>
      </w:r>
      <w:r w:rsidRPr="00860DD4">
        <w:rPr>
          <w:rFonts w:eastAsia="TimesNewRomanPS-BoldMT"/>
          <w:b/>
          <w:bCs/>
          <w:szCs w:val="24"/>
        </w:rPr>
        <w:t>Результаты</w:t>
      </w:r>
      <w:r w:rsidRPr="00860DD4">
        <w:rPr>
          <w:rFonts w:eastAsia="TimesNewRomanPS-BoldMT"/>
          <w:b/>
          <w:bCs/>
          <w:szCs w:val="24"/>
        </w:rPr>
        <w:t xml:space="preserve"> (</w:t>
      </w:r>
      <w:r w:rsidRPr="00EE51B1">
        <w:rPr>
          <w:b/>
          <w:lang w:val="en-US"/>
        </w:rPr>
        <w:t>Results</w:t>
      </w:r>
      <w:r>
        <w:rPr>
          <w:b/>
        </w:rPr>
        <w:t>)</w:t>
      </w:r>
      <w:r w:rsidRPr="00860DD4">
        <w:rPr>
          <w:rFonts w:eastAsia="TimesNewRomanPS-BoldMT"/>
          <w:bCs/>
          <w:szCs w:val="24"/>
        </w:rPr>
        <w:t xml:space="preserve">, </w:t>
      </w:r>
      <w:r w:rsidRPr="00860DD4">
        <w:rPr>
          <w:b/>
          <w:szCs w:val="24"/>
        </w:rPr>
        <w:t>Практическая значимость</w:t>
      </w:r>
      <w:r w:rsidRPr="00860DD4">
        <w:rPr>
          <w:b/>
          <w:szCs w:val="24"/>
        </w:rPr>
        <w:t xml:space="preserve"> (</w:t>
      </w:r>
      <w:r w:rsidRPr="00860DD4">
        <w:rPr>
          <w:b/>
          <w:szCs w:val="24"/>
          <w:lang w:val="en-US"/>
        </w:rPr>
        <w:t>Practical</w:t>
      </w:r>
      <w:r w:rsidRPr="00860DD4">
        <w:rPr>
          <w:b/>
          <w:szCs w:val="24"/>
        </w:rPr>
        <w:t xml:space="preserve"> </w:t>
      </w:r>
      <w:r w:rsidRPr="00860DD4">
        <w:rPr>
          <w:b/>
          <w:szCs w:val="24"/>
          <w:lang w:val="en-US"/>
        </w:rPr>
        <w:t>relevance</w:t>
      </w:r>
      <w:r w:rsidRPr="00860DD4">
        <w:rPr>
          <w:b/>
          <w:szCs w:val="24"/>
        </w:rPr>
        <w:t>)</w:t>
      </w:r>
      <w:r w:rsidR="0040513D">
        <w:rPr>
          <w:b/>
          <w:szCs w:val="24"/>
        </w:rPr>
        <w:t xml:space="preserve"> – </w:t>
      </w:r>
      <w:r w:rsidR="0040513D" w:rsidRPr="0040513D">
        <w:rPr>
          <w:szCs w:val="24"/>
        </w:rPr>
        <w:t>если есть</w:t>
      </w:r>
      <w:r w:rsidRPr="00860DD4">
        <w:rPr>
          <w:rFonts w:eastAsia="TimesNewRomanPS-BoldMT"/>
          <w:bCs/>
          <w:szCs w:val="24"/>
        </w:rPr>
        <w:t xml:space="preserve">, если нужно – </w:t>
      </w:r>
      <w:r w:rsidRPr="00860DD4">
        <w:rPr>
          <w:rFonts w:eastAsia="TimesNewRomanPS-BoldMT"/>
          <w:b/>
          <w:bCs/>
          <w:szCs w:val="24"/>
        </w:rPr>
        <w:t>Обсуждение (</w:t>
      </w:r>
      <w:r w:rsidRPr="00EE51B1">
        <w:rPr>
          <w:b/>
          <w:lang w:val="en-US"/>
        </w:rPr>
        <w:t>Discussion</w:t>
      </w:r>
      <w:r>
        <w:rPr>
          <w:b/>
        </w:rPr>
        <w:t>)</w:t>
      </w:r>
      <w:r w:rsidRPr="00860DD4">
        <w:rPr>
          <w:rFonts w:eastAsia="TimesNewRomanPS-BoldMT"/>
          <w:bCs/>
          <w:szCs w:val="24"/>
        </w:rPr>
        <w:t xml:space="preserve">. </w:t>
      </w:r>
    </w:p>
    <w:p w:rsidR="00860DD4" w:rsidRPr="00860DD4" w:rsidRDefault="00860DD4" w:rsidP="00860DD4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60DD4">
        <w:rPr>
          <w:rFonts w:eastAsia="TimesNewRomanPS-BoldMT"/>
          <w:bCs/>
          <w:szCs w:val="24"/>
        </w:rPr>
        <w:t xml:space="preserve">Большую часть аннотации должен составлять раздел Результаты, в котором не следует </w:t>
      </w:r>
      <w:r w:rsidR="0040513D">
        <w:rPr>
          <w:rFonts w:eastAsia="TimesNewRomanPS-BoldMT"/>
          <w:bCs/>
          <w:szCs w:val="24"/>
        </w:rPr>
        <w:t>ограничиваться  общими</w:t>
      </w:r>
      <w:r w:rsidRPr="00860DD4">
        <w:rPr>
          <w:rFonts w:eastAsia="TimesNewRomanPS-BoldMT"/>
          <w:bCs/>
          <w:szCs w:val="24"/>
        </w:rPr>
        <w:t xml:space="preserve"> слова</w:t>
      </w:r>
      <w:r w:rsidR="0040513D">
        <w:rPr>
          <w:rFonts w:eastAsia="TimesNewRomanPS-BoldMT"/>
          <w:bCs/>
          <w:szCs w:val="24"/>
        </w:rPr>
        <w:t>ми</w:t>
      </w:r>
      <w:r w:rsidRPr="00860DD4">
        <w:rPr>
          <w:rFonts w:eastAsia="TimesNewRomanPS-BoldMT"/>
          <w:bCs/>
          <w:szCs w:val="24"/>
        </w:rPr>
        <w:t>: «Проведены исследования», «Разработана методика», «</w:t>
      </w:r>
      <w:r w:rsidRPr="00860DD4">
        <w:rPr>
          <w:szCs w:val="24"/>
        </w:rPr>
        <w:t xml:space="preserve">Разработан модифицированный алгоритм» и т. д., нужно описать </w:t>
      </w:r>
      <w:r w:rsidRPr="00860DD4">
        <w:rPr>
          <w:b/>
          <w:szCs w:val="24"/>
        </w:rPr>
        <w:t xml:space="preserve">суть </w:t>
      </w:r>
      <w:r w:rsidRPr="00860DD4">
        <w:rPr>
          <w:szCs w:val="24"/>
        </w:rPr>
        <w:t xml:space="preserve">исследования, изложить </w:t>
      </w:r>
      <w:r w:rsidRPr="00860DD4">
        <w:rPr>
          <w:b/>
          <w:szCs w:val="24"/>
        </w:rPr>
        <w:t>суть</w:t>
      </w:r>
      <w:r w:rsidRPr="00860DD4">
        <w:rPr>
          <w:szCs w:val="24"/>
        </w:rPr>
        <w:t xml:space="preserve"> методики, алгоритма.</w:t>
      </w:r>
    </w:p>
    <w:p w:rsidR="00860DD4" w:rsidRPr="00860DD4" w:rsidRDefault="00860DD4" w:rsidP="00860DD4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2B094D" w:rsidRPr="00860DD4" w:rsidRDefault="002B094D" w:rsidP="009362C3">
      <w:pPr>
        <w:autoSpaceDE w:val="0"/>
        <w:autoSpaceDN w:val="0"/>
        <w:adjustRightInd w:val="0"/>
        <w:spacing w:line="360" w:lineRule="auto"/>
        <w:rPr>
          <w:rFonts w:eastAsia="TimesNewRomanPS-BoldMT"/>
          <w:b/>
          <w:bCs/>
          <w:szCs w:val="24"/>
          <w:u w:val="single"/>
        </w:rPr>
      </w:pPr>
      <w:r w:rsidRPr="00860DD4">
        <w:rPr>
          <w:rFonts w:eastAsia="TimesNewRomanPS-BoldMT"/>
          <w:b/>
          <w:bCs/>
          <w:szCs w:val="24"/>
          <w:u w:val="single"/>
        </w:rPr>
        <w:t>Пример структурированно</w:t>
      </w:r>
      <w:r w:rsidR="005E5568">
        <w:rPr>
          <w:rFonts w:eastAsia="TimesNewRomanPS-BoldMT"/>
          <w:b/>
          <w:bCs/>
          <w:szCs w:val="24"/>
          <w:u w:val="single"/>
        </w:rPr>
        <w:t>й аннотации</w:t>
      </w:r>
      <w:r w:rsidRPr="00860DD4">
        <w:rPr>
          <w:rFonts w:eastAsia="TimesNewRomanPS-BoldMT"/>
          <w:b/>
          <w:bCs/>
          <w:szCs w:val="24"/>
          <w:u w:val="single"/>
        </w:rPr>
        <w:t xml:space="preserve"> из иностранного журнала в </w:t>
      </w:r>
      <w:proofErr w:type="spellStart"/>
      <w:r w:rsidRPr="00860DD4">
        <w:rPr>
          <w:rFonts w:eastAsia="TimesNewRomanPS-BoldMT"/>
          <w:b/>
          <w:bCs/>
          <w:szCs w:val="24"/>
          <w:u w:val="single"/>
        </w:rPr>
        <w:t>Scopus</w:t>
      </w:r>
      <w:proofErr w:type="spellEnd"/>
      <w:r w:rsidRPr="00860DD4">
        <w:rPr>
          <w:rFonts w:eastAsia="TimesNewRomanPS-BoldMT"/>
          <w:b/>
          <w:bCs/>
          <w:szCs w:val="24"/>
          <w:u w:val="single"/>
        </w:rPr>
        <w:t>:</w:t>
      </w:r>
    </w:p>
    <w:p w:rsidR="002B094D" w:rsidRPr="00860DD4" w:rsidRDefault="002B094D" w:rsidP="009362C3">
      <w:pPr>
        <w:autoSpaceDE w:val="0"/>
        <w:autoSpaceDN w:val="0"/>
        <w:adjustRightInd w:val="0"/>
        <w:spacing w:line="360" w:lineRule="auto"/>
        <w:rPr>
          <w:rFonts w:eastAsia="TimesNewRomanPSMT"/>
          <w:szCs w:val="24"/>
          <w:lang w:val="en-US"/>
        </w:rPr>
      </w:pPr>
      <w:r w:rsidRPr="00860DD4">
        <w:rPr>
          <w:rFonts w:eastAsia="TimesNewRomanPS-BoldMT"/>
          <w:b/>
          <w:bCs/>
          <w:szCs w:val="24"/>
          <w:lang w:val="en-US"/>
        </w:rPr>
        <w:t xml:space="preserve">Purpose: </w:t>
      </w:r>
      <w:r w:rsidRPr="00860DD4">
        <w:rPr>
          <w:rFonts w:eastAsia="TimesNewRomanPSMT"/>
          <w:szCs w:val="24"/>
          <w:lang w:val="en-US"/>
        </w:rPr>
        <w:t xml:space="preserve">Because of the large and continuous energetic requirements of brain function, </w:t>
      </w:r>
      <w:proofErr w:type="spellStart"/>
      <w:r w:rsidRPr="00860DD4">
        <w:rPr>
          <w:rFonts w:eastAsia="TimesNewRomanPSMT"/>
          <w:szCs w:val="24"/>
          <w:lang w:val="en-US"/>
        </w:rPr>
        <w:t>neurometabolic</w:t>
      </w:r>
      <w:proofErr w:type="spellEnd"/>
      <w:r w:rsidRPr="00860DD4">
        <w:rPr>
          <w:rFonts w:eastAsia="TimesNewRomanPSMT"/>
          <w:szCs w:val="24"/>
          <w:lang w:val="en-US"/>
        </w:rPr>
        <w:t xml:space="preserve"> dysfunction is a key pathophysiologic aspect of the epileptic brain. Additionally, </w:t>
      </w:r>
      <w:proofErr w:type="spellStart"/>
      <w:r w:rsidRPr="00860DD4">
        <w:rPr>
          <w:rFonts w:eastAsia="TimesNewRomanPSMT"/>
          <w:szCs w:val="24"/>
          <w:lang w:val="en-US"/>
        </w:rPr>
        <w:t>neurometabolic</w:t>
      </w:r>
      <w:proofErr w:type="spellEnd"/>
      <w:r w:rsidRPr="00860DD4">
        <w:rPr>
          <w:rFonts w:eastAsia="TimesNewRomanPSMT"/>
          <w:szCs w:val="24"/>
          <w:lang w:val="en-US"/>
        </w:rPr>
        <w:t xml:space="preserve"> dysfunction has many self-propagating features that are typical of epileptogenic processes, that is, where each occurrence makes the likelihood of further mitochondrial and energetic injury more probable. Thus abnormal </w:t>
      </w:r>
      <w:proofErr w:type="spellStart"/>
      <w:r w:rsidRPr="00860DD4">
        <w:rPr>
          <w:rFonts w:eastAsia="TimesNewRomanPSMT"/>
          <w:szCs w:val="24"/>
          <w:lang w:val="en-US"/>
        </w:rPr>
        <w:t>neurometabolism</w:t>
      </w:r>
      <w:proofErr w:type="spellEnd"/>
      <w:r w:rsidRPr="00860DD4">
        <w:rPr>
          <w:rFonts w:eastAsia="TimesNewRomanPSMT"/>
          <w:szCs w:val="24"/>
          <w:lang w:val="en-US"/>
        </w:rPr>
        <w:t xml:space="preserve"> may be not only a chronic accompaniment of the epileptic brain, but also a direct contributor to </w:t>
      </w:r>
      <w:proofErr w:type="spellStart"/>
      <w:r w:rsidRPr="00860DD4">
        <w:rPr>
          <w:rFonts w:eastAsia="TimesNewRomanPSMT"/>
          <w:szCs w:val="24"/>
          <w:lang w:val="en-US"/>
        </w:rPr>
        <w:t>epileptogenesis</w:t>
      </w:r>
      <w:proofErr w:type="spellEnd"/>
      <w:r w:rsidRPr="00860DD4">
        <w:rPr>
          <w:rFonts w:eastAsia="TimesNewRomanPSMT"/>
          <w:szCs w:val="24"/>
          <w:lang w:val="en-US"/>
        </w:rPr>
        <w:t xml:space="preserve">. </w:t>
      </w:r>
      <w:r w:rsidRPr="00860DD4">
        <w:rPr>
          <w:rFonts w:eastAsia="TimesNewRomanPSMT"/>
          <w:b/>
          <w:szCs w:val="24"/>
          <w:lang w:val="en-US"/>
        </w:rPr>
        <w:t>Methods:</w:t>
      </w:r>
      <w:r w:rsidRPr="00860DD4">
        <w:rPr>
          <w:rFonts w:eastAsia="TimesNewRomanPSMT"/>
          <w:szCs w:val="24"/>
          <w:lang w:val="en-US"/>
        </w:rPr>
        <w:t xml:space="preserve"> We examine the evidence for </w:t>
      </w:r>
      <w:proofErr w:type="spellStart"/>
      <w:r w:rsidRPr="00860DD4">
        <w:rPr>
          <w:rFonts w:eastAsia="TimesNewRomanPSMT"/>
          <w:szCs w:val="24"/>
          <w:lang w:val="en-US"/>
        </w:rPr>
        <w:t>neurometabolic</w:t>
      </w:r>
      <w:proofErr w:type="spellEnd"/>
      <w:r w:rsidRPr="00860DD4">
        <w:rPr>
          <w:rFonts w:eastAsia="TimesNewRomanPSMT"/>
          <w:szCs w:val="24"/>
          <w:lang w:val="en-US"/>
        </w:rPr>
        <w:t xml:space="preserve"> dysfunction in epilepsy, integrating human studies of metabolic imaging, electrophysiology, </w:t>
      </w:r>
      <w:proofErr w:type="spellStart"/>
      <w:r w:rsidRPr="00860DD4">
        <w:rPr>
          <w:rFonts w:eastAsia="TimesNewRomanPSMT"/>
          <w:szCs w:val="24"/>
          <w:lang w:val="en-US"/>
        </w:rPr>
        <w:t>microdialysis</w:t>
      </w:r>
      <w:proofErr w:type="spellEnd"/>
      <w:r w:rsidRPr="00860DD4">
        <w:rPr>
          <w:rFonts w:eastAsia="TimesNewRomanPSMT"/>
          <w:szCs w:val="24"/>
          <w:lang w:val="en-US"/>
        </w:rPr>
        <w:t xml:space="preserve">, as well as intracranial EEG and neuropathology. </w:t>
      </w:r>
      <w:r w:rsidRPr="00860DD4">
        <w:rPr>
          <w:rFonts w:eastAsia="TimesNewRomanPS-BoldMT"/>
          <w:b/>
          <w:bCs/>
          <w:szCs w:val="24"/>
          <w:lang w:val="en-US"/>
        </w:rPr>
        <w:t xml:space="preserve">Results: </w:t>
      </w:r>
      <w:r w:rsidRPr="00860DD4">
        <w:rPr>
          <w:rFonts w:eastAsia="TimesNewRomanPSMT"/>
          <w:szCs w:val="24"/>
          <w:lang w:val="en-US"/>
        </w:rPr>
        <w:t xml:space="preserve">As an approach of noninvasive functional imaging, quantitative magnetic resonance spectroscopic </w:t>
      </w:r>
      <w:proofErr w:type="gramStart"/>
      <w:r w:rsidRPr="00860DD4">
        <w:rPr>
          <w:rFonts w:eastAsia="TimesNewRomanPSMT"/>
          <w:szCs w:val="24"/>
          <w:lang w:val="en-US"/>
        </w:rPr>
        <w:t>imaging  measured</w:t>
      </w:r>
      <w:proofErr w:type="gramEnd"/>
      <w:r w:rsidRPr="00860DD4">
        <w:rPr>
          <w:rFonts w:eastAsia="TimesNewRomanPSMT"/>
          <w:szCs w:val="24"/>
          <w:lang w:val="en-US"/>
        </w:rPr>
        <w:t xml:space="preserve"> abnormalities of mitochondrial</w:t>
      </w:r>
    </w:p>
    <w:p w:rsidR="002B094D" w:rsidRPr="00860DD4" w:rsidRDefault="002B094D" w:rsidP="009362C3">
      <w:pPr>
        <w:autoSpaceDE w:val="0"/>
        <w:autoSpaceDN w:val="0"/>
        <w:adjustRightInd w:val="0"/>
        <w:spacing w:line="360" w:lineRule="auto"/>
        <w:rPr>
          <w:rFonts w:eastAsia="TimesNewRomanPSMT"/>
          <w:szCs w:val="24"/>
          <w:lang w:val="en-US"/>
        </w:rPr>
      </w:pPr>
      <w:proofErr w:type="gramStart"/>
      <w:r w:rsidRPr="00860DD4">
        <w:rPr>
          <w:rFonts w:eastAsia="TimesNewRomanPSMT"/>
          <w:szCs w:val="24"/>
          <w:lang w:val="en-US"/>
        </w:rPr>
        <w:t>and</w:t>
      </w:r>
      <w:proofErr w:type="gramEnd"/>
      <w:r w:rsidRPr="00860DD4">
        <w:rPr>
          <w:rFonts w:eastAsia="TimesNewRomanPSMT"/>
          <w:szCs w:val="24"/>
          <w:lang w:val="en-US"/>
        </w:rPr>
        <w:t xml:space="preserve"> energetic dysfunction (via 1H or 31P spectroscopy) are related to several pathophysiologic indices of epileptic dysfunction. With patients undergoing hippocampal resection, intraoperative 13C-glucose turnover studies show a profound decrease in neurotransmitter (glutamate-glutamine) cycling relative to oxidation in the sclerotic hippocampus. Increased extracellular glutamate (which has long been associated with increased seizure likelihood) is significantly </w:t>
      </w:r>
      <w:r w:rsidRPr="00860DD4">
        <w:rPr>
          <w:rFonts w:eastAsia="TimesNewRomanPSMT"/>
          <w:szCs w:val="24"/>
          <w:lang w:val="en-US"/>
        </w:rPr>
        <w:lastRenderedPageBreak/>
        <w:t xml:space="preserve">linked with declining energetics as measured by 31P MR, as well as with increased EEG measures of </w:t>
      </w:r>
      <w:proofErr w:type="spellStart"/>
      <w:r w:rsidRPr="00860DD4">
        <w:rPr>
          <w:rFonts w:eastAsia="TimesNewRomanPSMT"/>
          <w:szCs w:val="24"/>
          <w:lang w:val="en-US"/>
        </w:rPr>
        <w:t>Teager</w:t>
      </w:r>
      <w:proofErr w:type="spellEnd"/>
      <w:r w:rsidRPr="00860DD4">
        <w:rPr>
          <w:rFonts w:eastAsia="TimesNewRomanPSMT"/>
          <w:szCs w:val="24"/>
          <w:lang w:val="en-US"/>
        </w:rPr>
        <w:t xml:space="preserve"> energy, further arguing for a direct role of glutamate with </w:t>
      </w:r>
      <w:proofErr w:type="spellStart"/>
      <w:r w:rsidRPr="00860DD4">
        <w:rPr>
          <w:rFonts w:eastAsia="TimesNewRomanPSMT"/>
          <w:szCs w:val="24"/>
          <w:lang w:val="en-US"/>
        </w:rPr>
        <w:t>hyperexcitability</w:t>
      </w:r>
      <w:proofErr w:type="spellEnd"/>
      <w:r w:rsidRPr="00860DD4">
        <w:rPr>
          <w:rFonts w:eastAsia="TimesNewRomanPSMT"/>
          <w:szCs w:val="24"/>
          <w:lang w:val="en-US"/>
        </w:rPr>
        <w:t xml:space="preserve">. </w:t>
      </w:r>
      <w:r w:rsidRPr="00860DD4">
        <w:rPr>
          <w:rFonts w:eastAsia="TimesNewRomanPS-BoldMT"/>
          <w:b/>
          <w:bCs/>
          <w:szCs w:val="24"/>
          <w:lang w:val="en-US"/>
        </w:rPr>
        <w:t xml:space="preserve">Discussion: </w:t>
      </w:r>
      <w:r w:rsidRPr="00860DD4">
        <w:rPr>
          <w:rFonts w:eastAsia="TimesNewRomanPSMT"/>
          <w:szCs w:val="24"/>
          <w:lang w:val="en-US"/>
        </w:rPr>
        <w:t xml:space="preserve">Given the important contribution that metabolic performance makes toward excitability in brain, it is not surprising that numerous aspects of mitochondrial and energetic state link significantly with </w:t>
      </w:r>
      <w:proofErr w:type="spellStart"/>
      <w:r w:rsidRPr="00860DD4">
        <w:rPr>
          <w:rFonts w:eastAsia="TimesNewRomanPSMT"/>
          <w:szCs w:val="24"/>
          <w:lang w:val="en-US"/>
        </w:rPr>
        <w:t>electrophysiologic</w:t>
      </w:r>
      <w:proofErr w:type="spellEnd"/>
      <w:r w:rsidRPr="00860DD4">
        <w:rPr>
          <w:rFonts w:eastAsia="TimesNewRomanPSMT"/>
          <w:szCs w:val="24"/>
          <w:lang w:val="en-US"/>
        </w:rPr>
        <w:t xml:space="preserve"> and </w:t>
      </w:r>
      <w:proofErr w:type="spellStart"/>
      <w:r w:rsidRPr="00860DD4">
        <w:rPr>
          <w:rFonts w:eastAsia="TimesNewRomanPSMT"/>
          <w:szCs w:val="24"/>
          <w:lang w:val="en-US"/>
        </w:rPr>
        <w:t>microdialysis</w:t>
      </w:r>
      <w:proofErr w:type="spellEnd"/>
      <w:r w:rsidRPr="00860DD4">
        <w:rPr>
          <w:rFonts w:eastAsia="TimesNewRomanPSMT"/>
          <w:szCs w:val="24"/>
          <w:lang w:val="en-US"/>
        </w:rPr>
        <w:t xml:space="preserve"> measures in human epilepsy. This may be of particular relevance with the self-propagating nature of mitochondrial injury, but may also help define the conditions for which interventions may be developed. </w:t>
      </w:r>
    </w:p>
    <w:p w:rsidR="002B094D" w:rsidRPr="00860DD4" w:rsidRDefault="002B094D" w:rsidP="009362C3">
      <w:pPr>
        <w:autoSpaceDE w:val="0"/>
        <w:autoSpaceDN w:val="0"/>
        <w:adjustRightInd w:val="0"/>
        <w:spacing w:line="360" w:lineRule="auto"/>
        <w:rPr>
          <w:rFonts w:eastAsia="TimesNewRomanPSMT"/>
          <w:szCs w:val="24"/>
          <w:lang w:val="en-US"/>
        </w:rPr>
      </w:pPr>
    </w:p>
    <w:p w:rsidR="008E71CD" w:rsidRPr="00860DD4" w:rsidRDefault="009362C3" w:rsidP="009362C3">
      <w:pPr>
        <w:autoSpaceDE w:val="0"/>
        <w:autoSpaceDN w:val="0"/>
        <w:adjustRightInd w:val="0"/>
        <w:spacing w:line="360" w:lineRule="auto"/>
        <w:rPr>
          <w:rFonts w:eastAsia="TimesNewRomanPS-BoldMT"/>
          <w:bCs/>
          <w:szCs w:val="24"/>
        </w:rPr>
      </w:pPr>
      <w:r w:rsidRPr="00860DD4">
        <w:rPr>
          <w:rFonts w:eastAsia="TimesNewRomanPS-BoldMT"/>
          <w:b/>
          <w:bCs/>
          <w:szCs w:val="24"/>
          <w:u w:val="single"/>
        </w:rPr>
        <w:t>Пример структурированной</w:t>
      </w:r>
      <w:r w:rsidR="002B094D" w:rsidRPr="00860DD4">
        <w:rPr>
          <w:rFonts w:eastAsia="TimesNewRomanPS-BoldMT"/>
          <w:b/>
          <w:bCs/>
          <w:szCs w:val="24"/>
          <w:u w:val="single"/>
        </w:rPr>
        <w:t xml:space="preserve"> </w:t>
      </w:r>
      <w:r w:rsidRPr="00860DD4">
        <w:rPr>
          <w:rFonts w:eastAsia="TimesNewRomanPS-BoldMT"/>
          <w:b/>
          <w:bCs/>
          <w:szCs w:val="24"/>
          <w:u w:val="single"/>
        </w:rPr>
        <w:t xml:space="preserve">аннотации </w:t>
      </w:r>
      <w:r w:rsidR="002B094D" w:rsidRPr="00860DD4">
        <w:rPr>
          <w:rFonts w:eastAsia="TimesNewRomanPS-BoldMT"/>
          <w:b/>
          <w:bCs/>
          <w:szCs w:val="24"/>
          <w:u w:val="single"/>
        </w:rPr>
        <w:t>из русского журнала</w:t>
      </w:r>
      <w:r w:rsidR="002B094D" w:rsidRPr="00860DD4">
        <w:rPr>
          <w:rFonts w:eastAsia="TimesNewRomanPS-BoldMT"/>
          <w:b/>
          <w:bCs/>
          <w:szCs w:val="24"/>
        </w:rPr>
        <w:t xml:space="preserve"> </w:t>
      </w:r>
      <w:r w:rsidR="008E71CD" w:rsidRPr="00860DD4">
        <w:rPr>
          <w:rFonts w:eastAsia="TimesNewRomanPS-BoldMT"/>
          <w:bCs/>
          <w:szCs w:val="24"/>
        </w:rPr>
        <w:t>–</w:t>
      </w:r>
      <w:r w:rsidR="002B094D" w:rsidRPr="00860DD4">
        <w:rPr>
          <w:rFonts w:eastAsia="TimesNewRomanPS-BoldMT"/>
          <w:bCs/>
          <w:szCs w:val="24"/>
        </w:rPr>
        <w:t xml:space="preserve"> </w:t>
      </w:r>
    </w:p>
    <w:p w:rsidR="00685AB4" w:rsidRPr="00860DD4" w:rsidRDefault="00685AB4" w:rsidP="009362C3">
      <w:pPr>
        <w:autoSpaceDE w:val="0"/>
        <w:autoSpaceDN w:val="0"/>
        <w:adjustRightInd w:val="0"/>
        <w:spacing w:line="360" w:lineRule="auto"/>
        <w:rPr>
          <w:szCs w:val="24"/>
        </w:rPr>
      </w:pPr>
      <w:bookmarkStart w:id="0" w:name="_GoBack"/>
      <w:bookmarkEnd w:id="0"/>
    </w:p>
    <w:p w:rsidR="00E1390A" w:rsidRPr="00860DD4" w:rsidRDefault="005E32F5" w:rsidP="009362C3">
      <w:pPr>
        <w:spacing w:line="360" w:lineRule="auto"/>
        <w:ind w:right="-2"/>
        <w:rPr>
          <w:szCs w:val="24"/>
        </w:rPr>
      </w:pPr>
      <w:r w:rsidRPr="00860DD4">
        <w:rPr>
          <w:b/>
          <w:szCs w:val="24"/>
        </w:rPr>
        <w:t>Введение</w:t>
      </w:r>
      <w:r w:rsidR="00E1390A" w:rsidRPr="00860DD4">
        <w:rPr>
          <w:b/>
          <w:szCs w:val="24"/>
        </w:rPr>
        <w:t xml:space="preserve">: </w:t>
      </w:r>
      <w:r w:rsidR="00E1390A" w:rsidRPr="00860DD4">
        <w:rPr>
          <w:szCs w:val="24"/>
        </w:rPr>
        <w:t xml:space="preserve">контроль и диагностирование являются неотъемлемой частью процесса разработки, испытаний и эксплуатации космических аппаратов. Несовершенство средств контроля и диагностирования, уменьшение возможности получения исчерпывающих статистических данных по появлению различных дефектов привело к ситуации, когда принятие решения о техническом состоянии бортовой аппаратуры космических аппаратов и выработка управляющих воздействий проводятся в условиях существенной неопределенности. Одним из эффективных путей решения данной проблемы является использование интеллектуальных систем. </w:t>
      </w:r>
      <w:r w:rsidRPr="00860DD4">
        <w:rPr>
          <w:b/>
          <w:szCs w:val="24"/>
        </w:rPr>
        <w:t>Цель исследования:</w:t>
      </w:r>
      <w:r w:rsidRPr="00860DD4">
        <w:rPr>
          <w:szCs w:val="24"/>
        </w:rPr>
        <w:t xml:space="preserve"> разработка  информационно-диагностической  системы </w:t>
      </w:r>
      <w:proofErr w:type="gramStart"/>
      <w:r w:rsidRPr="00860DD4">
        <w:rPr>
          <w:szCs w:val="24"/>
        </w:rPr>
        <w:t>оценки вероятности безотказной работы бортовой аппаратуры космических аппаратов</w:t>
      </w:r>
      <w:proofErr w:type="gramEnd"/>
      <w:r w:rsidRPr="00860DD4">
        <w:rPr>
          <w:szCs w:val="24"/>
        </w:rPr>
        <w:t xml:space="preserve">. </w:t>
      </w:r>
      <w:r w:rsidRPr="00860DD4">
        <w:rPr>
          <w:b/>
          <w:szCs w:val="24"/>
        </w:rPr>
        <w:t xml:space="preserve"> </w:t>
      </w:r>
      <w:r w:rsidR="00E1390A" w:rsidRPr="00860DD4">
        <w:rPr>
          <w:b/>
          <w:szCs w:val="24"/>
        </w:rPr>
        <w:t xml:space="preserve">Методы: </w:t>
      </w:r>
      <w:r w:rsidR="00E1390A" w:rsidRPr="00860DD4">
        <w:rPr>
          <w:szCs w:val="24"/>
        </w:rPr>
        <w:t xml:space="preserve">создание специальной опросной матрицы решающих правил импликативного типа «ЕСЛИ..., ТО...» в факторном пространстве нечетких переменных. При этом эксперт сам формирует пространство, в котором он принимает решение. </w:t>
      </w:r>
      <w:r w:rsidR="00E1390A" w:rsidRPr="00860DD4">
        <w:rPr>
          <w:b/>
          <w:szCs w:val="24"/>
        </w:rPr>
        <w:t>Результаты:</w:t>
      </w:r>
      <w:r w:rsidR="00E1390A" w:rsidRPr="00860DD4">
        <w:rPr>
          <w:szCs w:val="24"/>
        </w:rPr>
        <w:t xml:space="preserve"> на базе предложенного метода оценивания технического состояния рассматриваемой телеметрической системы с использованием неявных экспертных знаний построена информационно-диагностическая система, позволяющая получать количественные оценки состояния работоспособности БР-91Ц в любой необходимый момент времени на основе анализа текущих значений параметров. Разработано программно-алгоритмическое обеспечение испытаний типовой бортовой аппаратуры космических аппаратов, синтезированное на основе моделей и методов интеллектуальной обработки информации. Идея эксперимента заключалась в моделировании неисправностей для оценивания показателя безотказной работы интеллектуальной информационно-диагностической системы в составе испытательной аппаратуры бортовой информационно-телеметрической системы БР-91Ц. Количественные оценки состояния БР-91Ц в многомерном пространстве нечетких переменных позволяют проводить ее мониторинг, что дает основание для выработки гибкой стратегии эксплуатации. Проверка качества интеллектуальной нечеткой модели проведена прямым сравнением результатов работы приложения с результатами оценивания специалистом </w:t>
      </w:r>
      <w:r w:rsidR="00E1390A" w:rsidRPr="00860DD4">
        <w:rPr>
          <w:szCs w:val="24"/>
        </w:rPr>
        <w:lastRenderedPageBreak/>
        <w:t xml:space="preserve">автономных испытаний бортовой информационно-телеметрической системы. Выигрыш по критерию точечной оценки показателя безотказной работы разработанной интеллектуальной системы составил 5 % по сравнению с традиционным классическим подходом. Таким образом, разработанная интеллектуальная информационно-диагностическая система характеризуется лучшими значениями точечной оценки вероятности безотказной работы в ходе проведенного эксперимента. </w:t>
      </w:r>
      <w:r w:rsidR="00E1390A" w:rsidRPr="00860DD4">
        <w:rPr>
          <w:b/>
          <w:szCs w:val="24"/>
        </w:rPr>
        <w:t xml:space="preserve">Практическая значимость: </w:t>
      </w:r>
      <w:r w:rsidR="00E1390A" w:rsidRPr="00860DD4">
        <w:rPr>
          <w:szCs w:val="24"/>
        </w:rPr>
        <w:t xml:space="preserve">результаты исследований использованы при разработке контрольно-испытательной аппаратуры бортовой аппаратуры космических аппаратов. Они позволяют существенно снизить неопределенность при принятии решения о техническом состоянии, а также при выдаче тестовых воздействий. </w:t>
      </w:r>
    </w:p>
    <w:p w:rsidR="00E1390A" w:rsidRPr="00860DD4" w:rsidRDefault="00E1390A" w:rsidP="009362C3">
      <w:pPr>
        <w:spacing w:line="360" w:lineRule="auto"/>
        <w:ind w:right="-2"/>
        <w:rPr>
          <w:szCs w:val="24"/>
        </w:rPr>
      </w:pPr>
      <w:r w:rsidRPr="00860DD4">
        <w:rPr>
          <w:b/>
          <w:szCs w:val="24"/>
        </w:rPr>
        <w:t>Ключевые слова</w:t>
      </w:r>
      <w:r w:rsidRPr="00860DD4">
        <w:rPr>
          <w:szCs w:val="24"/>
        </w:rPr>
        <w:t xml:space="preserve"> – интеллектуальная информационно-диагностическая система, техническое состояние, нечеткая логика, бортовая аппаратура космических аппаратов.</w:t>
      </w:r>
    </w:p>
    <w:p w:rsidR="00AD0463" w:rsidRPr="00860DD4" w:rsidRDefault="00AD0463" w:rsidP="009362C3">
      <w:pPr>
        <w:spacing w:line="360" w:lineRule="auto"/>
        <w:rPr>
          <w:b/>
          <w:szCs w:val="24"/>
        </w:rPr>
      </w:pPr>
    </w:p>
    <w:sectPr w:rsidR="00AD0463" w:rsidRPr="00860DD4" w:rsidSect="009362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61B"/>
    <w:multiLevelType w:val="hybridMultilevel"/>
    <w:tmpl w:val="D194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D"/>
    <w:rsid w:val="00103C3C"/>
    <w:rsid w:val="0016074F"/>
    <w:rsid w:val="001E089D"/>
    <w:rsid w:val="002815C0"/>
    <w:rsid w:val="002B094D"/>
    <w:rsid w:val="002C3CBA"/>
    <w:rsid w:val="0040513D"/>
    <w:rsid w:val="0045167A"/>
    <w:rsid w:val="004B161F"/>
    <w:rsid w:val="004D2BFB"/>
    <w:rsid w:val="004D5D2A"/>
    <w:rsid w:val="00513E1F"/>
    <w:rsid w:val="005E32F5"/>
    <w:rsid w:val="005E5568"/>
    <w:rsid w:val="00685AB4"/>
    <w:rsid w:val="00860DD4"/>
    <w:rsid w:val="00892E32"/>
    <w:rsid w:val="008D4410"/>
    <w:rsid w:val="008E71CD"/>
    <w:rsid w:val="009362C3"/>
    <w:rsid w:val="00AD0463"/>
    <w:rsid w:val="00BC142F"/>
    <w:rsid w:val="00CB6C43"/>
    <w:rsid w:val="00D665A0"/>
    <w:rsid w:val="00D85006"/>
    <w:rsid w:val="00E1390A"/>
    <w:rsid w:val="00E37DF4"/>
    <w:rsid w:val="00F4523F"/>
    <w:rsid w:val="00F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0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B094D"/>
    <w:pPr>
      <w:spacing w:line="360" w:lineRule="auto"/>
      <w:ind w:firstLine="567"/>
      <w:jc w:val="both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2B094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685AB4"/>
    <w:rPr>
      <w:color w:val="0000FF"/>
      <w:u w:val="single"/>
    </w:rPr>
  </w:style>
  <w:style w:type="paragraph" w:customStyle="1" w:styleId="a6">
    <w:name w:val="Основной"/>
    <w:basedOn w:val="a"/>
    <w:uiPriority w:val="99"/>
    <w:rsid w:val="004B161F"/>
    <w:pPr>
      <w:tabs>
        <w:tab w:val="left" w:pos="8789"/>
      </w:tabs>
      <w:spacing w:line="360" w:lineRule="auto"/>
      <w:ind w:firstLine="709"/>
      <w:jc w:val="both"/>
    </w:pPr>
    <w:rPr>
      <w:rFonts w:eastAsia="Times New Roman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0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B094D"/>
    <w:pPr>
      <w:spacing w:line="360" w:lineRule="auto"/>
      <w:ind w:firstLine="567"/>
      <w:jc w:val="both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2B094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685AB4"/>
    <w:rPr>
      <w:color w:val="0000FF"/>
      <w:u w:val="single"/>
    </w:rPr>
  </w:style>
  <w:style w:type="paragraph" w:customStyle="1" w:styleId="a6">
    <w:name w:val="Основной"/>
    <w:basedOn w:val="a"/>
    <w:uiPriority w:val="99"/>
    <w:rsid w:val="004B161F"/>
    <w:pPr>
      <w:tabs>
        <w:tab w:val="left" w:pos="8789"/>
      </w:tabs>
      <w:spacing w:line="360" w:lineRule="auto"/>
      <w:ind w:firstLine="709"/>
      <w:jc w:val="both"/>
    </w:pPr>
    <w:rPr>
      <w:rFonts w:eastAsia="Times New Roman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</dc:creator>
  <cp:lastModifiedBy>МОВ</cp:lastModifiedBy>
  <cp:revision>3</cp:revision>
  <dcterms:created xsi:type="dcterms:W3CDTF">2019-06-03T13:16:00Z</dcterms:created>
  <dcterms:modified xsi:type="dcterms:W3CDTF">2019-06-03T13:17:00Z</dcterms:modified>
</cp:coreProperties>
</file>