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C0" w:rsidRDefault="002815C0" w:rsidP="002815C0">
      <w:pPr>
        <w:autoSpaceDE w:val="0"/>
        <w:autoSpaceDN w:val="0"/>
        <w:adjustRightInd w:val="0"/>
        <w:rPr>
          <w:rFonts w:eastAsia="TimesNewRomanPS-BoldMT"/>
          <w:bCs/>
          <w:szCs w:val="24"/>
        </w:rPr>
      </w:pPr>
      <w:r w:rsidRPr="002815C0">
        <w:rPr>
          <w:rFonts w:eastAsia="TimesNewRomanPS-BoldMT"/>
          <w:bCs/>
          <w:szCs w:val="24"/>
        </w:rPr>
        <w:t>Текст должен быть связным, с использованием слов «следовательно», «более того», «например», «в результате» и т. д. («</w:t>
      </w:r>
      <w:proofErr w:type="spellStart"/>
      <w:r w:rsidRPr="002815C0">
        <w:rPr>
          <w:rFonts w:eastAsia="TimesNewRomanPS-BoldMT"/>
          <w:bCs/>
          <w:szCs w:val="24"/>
        </w:rPr>
        <w:t>consequently</w:t>
      </w:r>
      <w:proofErr w:type="spellEnd"/>
      <w:r w:rsidRPr="002815C0">
        <w:rPr>
          <w:rFonts w:eastAsia="TimesNewRomanPS-BoldMT"/>
          <w:bCs/>
          <w:szCs w:val="24"/>
        </w:rPr>
        <w:t>», «</w:t>
      </w:r>
      <w:proofErr w:type="spellStart"/>
      <w:r w:rsidRPr="002815C0">
        <w:rPr>
          <w:rFonts w:eastAsia="TimesNewRomanPS-BoldMT"/>
          <w:bCs/>
          <w:szCs w:val="24"/>
        </w:rPr>
        <w:t>moreover</w:t>
      </w:r>
      <w:proofErr w:type="spellEnd"/>
      <w:r w:rsidRPr="002815C0">
        <w:rPr>
          <w:rFonts w:eastAsia="TimesNewRomanPS-BoldMT"/>
          <w:bCs/>
          <w:szCs w:val="24"/>
        </w:rPr>
        <w:t>», «</w:t>
      </w:r>
      <w:proofErr w:type="spellStart"/>
      <w:r w:rsidRPr="002815C0">
        <w:rPr>
          <w:rFonts w:eastAsia="TimesNewRomanPS-BoldMT"/>
          <w:bCs/>
          <w:szCs w:val="24"/>
        </w:rPr>
        <w:t>for</w:t>
      </w:r>
      <w:proofErr w:type="spellEnd"/>
      <w:r w:rsidRPr="002815C0">
        <w:rPr>
          <w:rFonts w:eastAsia="TimesNewRomanPS-BoldMT"/>
          <w:bCs/>
          <w:szCs w:val="24"/>
        </w:rPr>
        <w:t xml:space="preserve"> </w:t>
      </w:r>
      <w:proofErr w:type="spellStart"/>
      <w:r w:rsidRPr="002815C0">
        <w:rPr>
          <w:rFonts w:eastAsia="TimesNewRomanPS-BoldMT"/>
          <w:bCs/>
          <w:szCs w:val="24"/>
        </w:rPr>
        <w:t>example</w:t>
      </w:r>
      <w:proofErr w:type="spellEnd"/>
      <w:r w:rsidRPr="002815C0">
        <w:rPr>
          <w:rFonts w:eastAsia="TimesNewRomanPS-BoldMT"/>
          <w:bCs/>
          <w:szCs w:val="24"/>
        </w:rPr>
        <w:t xml:space="preserve">»,» </w:t>
      </w:r>
      <w:proofErr w:type="spellStart"/>
      <w:r w:rsidRPr="002815C0">
        <w:rPr>
          <w:rFonts w:eastAsia="TimesNewRomanPS-BoldMT"/>
          <w:bCs/>
          <w:szCs w:val="24"/>
        </w:rPr>
        <w:t>the</w:t>
      </w:r>
      <w:proofErr w:type="spellEnd"/>
      <w:r w:rsidRPr="002815C0">
        <w:rPr>
          <w:rFonts w:eastAsia="TimesNewRomanPS-BoldMT"/>
          <w:bCs/>
          <w:szCs w:val="24"/>
        </w:rPr>
        <w:t xml:space="preserve"> </w:t>
      </w:r>
      <w:proofErr w:type="spellStart"/>
      <w:r w:rsidRPr="002815C0">
        <w:rPr>
          <w:rFonts w:eastAsia="TimesNewRomanPS-BoldMT"/>
          <w:bCs/>
          <w:szCs w:val="24"/>
        </w:rPr>
        <w:t>benefits</w:t>
      </w:r>
      <w:proofErr w:type="spellEnd"/>
      <w:r w:rsidRPr="002815C0">
        <w:rPr>
          <w:rFonts w:eastAsia="TimesNewRomanPS-BoldMT"/>
          <w:bCs/>
          <w:szCs w:val="24"/>
        </w:rPr>
        <w:t xml:space="preserve"> </w:t>
      </w:r>
      <w:proofErr w:type="spellStart"/>
      <w:r w:rsidRPr="002815C0">
        <w:rPr>
          <w:rFonts w:eastAsia="TimesNewRomanPS-BoldMT"/>
          <w:bCs/>
          <w:szCs w:val="24"/>
        </w:rPr>
        <w:t>of</w:t>
      </w:r>
      <w:proofErr w:type="spellEnd"/>
      <w:r w:rsidRPr="002815C0">
        <w:rPr>
          <w:rFonts w:eastAsia="TimesNewRomanPS-BoldMT"/>
          <w:bCs/>
          <w:szCs w:val="24"/>
        </w:rPr>
        <w:t xml:space="preserve"> </w:t>
      </w:r>
      <w:proofErr w:type="spellStart"/>
      <w:r w:rsidRPr="002815C0">
        <w:rPr>
          <w:rFonts w:eastAsia="TimesNewRomanPS-BoldMT"/>
          <w:bCs/>
          <w:szCs w:val="24"/>
        </w:rPr>
        <w:t>this</w:t>
      </w:r>
      <w:proofErr w:type="spellEnd"/>
      <w:r w:rsidRPr="002815C0">
        <w:rPr>
          <w:rFonts w:eastAsia="TimesNewRomanPS-BoldMT"/>
          <w:bCs/>
          <w:szCs w:val="24"/>
        </w:rPr>
        <w:t xml:space="preserve"> </w:t>
      </w:r>
      <w:proofErr w:type="spellStart"/>
      <w:r w:rsidRPr="002815C0">
        <w:rPr>
          <w:rFonts w:eastAsia="TimesNewRomanPS-BoldMT"/>
          <w:bCs/>
          <w:szCs w:val="24"/>
        </w:rPr>
        <w:t>study</w:t>
      </w:r>
      <w:proofErr w:type="spellEnd"/>
      <w:r w:rsidRPr="002815C0">
        <w:rPr>
          <w:rFonts w:eastAsia="TimesNewRomanPS-BoldMT"/>
          <w:bCs/>
          <w:szCs w:val="24"/>
        </w:rPr>
        <w:t>», «</w:t>
      </w:r>
      <w:proofErr w:type="spellStart"/>
      <w:r w:rsidRPr="002815C0">
        <w:rPr>
          <w:rFonts w:eastAsia="TimesNewRomanPS-BoldMT"/>
          <w:bCs/>
          <w:szCs w:val="24"/>
        </w:rPr>
        <w:t>as</w:t>
      </w:r>
      <w:proofErr w:type="spellEnd"/>
      <w:r w:rsidRPr="002815C0">
        <w:rPr>
          <w:rFonts w:eastAsia="TimesNewRomanPS-BoldMT"/>
          <w:bCs/>
          <w:szCs w:val="24"/>
        </w:rPr>
        <w:t xml:space="preserve"> a </w:t>
      </w:r>
      <w:proofErr w:type="spellStart"/>
      <w:r w:rsidRPr="002815C0">
        <w:rPr>
          <w:rFonts w:eastAsia="TimesNewRomanPS-BoldMT"/>
          <w:bCs/>
          <w:szCs w:val="24"/>
        </w:rPr>
        <w:t>result</w:t>
      </w:r>
      <w:proofErr w:type="spellEnd"/>
      <w:r w:rsidRPr="002815C0">
        <w:rPr>
          <w:rFonts w:eastAsia="TimesNewRomanPS-BoldMT"/>
          <w:bCs/>
          <w:szCs w:val="24"/>
        </w:rPr>
        <w:t xml:space="preserve">» </w:t>
      </w:r>
      <w:proofErr w:type="spellStart"/>
      <w:r w:rsidRPr="002815C0">
        <w:rPr>
          <w:rFonts w:eastAsia="TimesNewRomanPS-BoldMT"/>
          <w:bCs/>
          <w:szCs w:val="24"/>
        </w:rPr>
        <w:t>etc</w:t>
      </w:r>
      <w:proofErr w:type="spellEnd"/>
      <w:r w:rsidRPr="002815C0">
        <w:rPr>
          <w:rFonts w:eastAsia="TimesNewRomanPS-BoldMT"/>
          <w:bCs/>
          <w:szCs w:val="24"/>
        </w:rPr>
        <w:t>.), разрозненные излагаемые положения должны логично вытекать одн</w:t>
      </w:r>
      <w:r w:rsidR="00F80997">
        <w:rPr>
          <w:rFonts w:eastAsia="TimesNewRomanPS-BoldMT"/>
          <w:bCs/>
          <w:szCs w:val="24"/>
        </w:rPr>
        <w:t>о</w:t>
      </w:r>
      <w:r w:rsidRPr="002815C0">
        <w:rPr>
          <w:rFonts w:eastAsia="TimesNewRomanPS-BoldMT"/>
          <w:bCs/>
          <w:szCs w:val="24"/>
        </w:rPr>
        <w:t xml:space="preserve"> из другого.</w:t>
      </w:r>
    </w:p>
    <w:p w:rsidR="002815C0" w:rsidRPr="002815C0" w:rsidRDefault="002815C0" w:rsidP="002815C0">
      <w:pPr>
        <w:autoSpaceDE w:val="0"/>
        <w:autoSpaceDN w:val="0"/>
        <w:adjustRightInd w:val="0"/>
        <w:rPr>
          <w:rFonts w:eastAsia="TimesNewRomanPS-BoldMT"/>
          <w:bCs/>
          <w:szCs w:val="24"/>
        </w:rPr>
      </w:pPr>
    </w:p>
    <w:p w:rsidR="002815C0" w:rsidRDefault="002815C0" w:rsidP="002815C0">
      <w:pPr>
        <w:autoSpaceDE w:val="0"/>
        <w:autoSpaceDN w:val="0"/>
        <w:adjustRightInd w:val="0"/>
        <w:rPr>
          <w:rFonts w:eastAsia="TimesNewRomanPS-BoldMT"/>
          <w:bCs/>
          <w:szCs w:val="24"/>
        </w:rPr>
      </w:pPr>
      <w:r w:rsidRPr="002815C0">
        <w:rPr>
          <w:rFonts w:eastAsia="TimesNewRomanPS-BoldMT"/>
          <w:bCs/>
          <w:szCs w:val="24"/>
        </w:rPr>
        <w:t xml:space="preserve">При переводе необходимо использовать </w:t>
      </w:r>
      <w:r w:rsidRPr="002815C0">
        <w:rPr>
          <w:rFonts w:eastAsia="TimesNewRomanPS-BoldMT"/>
          <w:b/>
          <w:bCs/>
          <w:szCs w:val="24"/>
        </w:rPr>
        <w:t>активный, а не пассивный залог</w:t>
      </w:r>
      <w:r w:rsidRPr="002815C0">
        <w:rPr>
          <w:rFonts w:eastAsia="TimesNewRomanPS-BoldMT"/>
          <w:bCs/>
          <w:szCs w:val="24"/>
        </w:rPr>
        <w:t>, т. е. «</w:t>
      </w:r>
      <w:proofErr w:type="spellStart"/>
      <w:r w:rsidRPr="002815C0">
        <w:rPr>
          <w:rFonts w:eastAsia="TimesNewRomanPS-BoldMT"/>
          <w:bCs/>
          <w:szCs w:val="24"/>
        </w:rPr>
        <w:t>The</w:t>
      </w:r>
      <w:proofErr w:type="spellEnd"/>
      <w:r w:rsidRPr="002815C0">
        <w:rPr>
          <w:rFonts w:eastAsia="TimesNewRomanPS-BoldMT"/>
          <w:bCs/>
          <w:szCs w:val="24"/>
        </w:rPr>
        <w:t xml:space="preserve"> </w:t>
      </w:r>
      <w:proofErr w:type="spellStart"/>
      <w:r w:rsidRPr="002815C0">
        <w:rPr>
          <w:rFonts w:eastAsia="TimesNewRomanPS-BoldMT"/>
          <w:bCs/>
          <w:szCs w:val="24"/>
        </w:rPr>
        <w:t>study</w:t>
      </w:r>
      <w:proofErr w:type="spellEnd"/>
      <w:r w:rsidRPr="002815C0">
        <w:rPr>
          <w:rFonts w:eastAsia="TimesNewRomanPS-BoldMT"/>
          <w:bCs/>
          <w:szCs w:val="24"/>
        </w:rPr>
        <w:t xml:space="preserve"> </w:t>
      </w:r>
      <w:proofErr w:type="spellStart"/>
      <w:r w:rsidRPr="002815C0">
        <w:rPr>
          <w:rFonts w:eastAsia="TimesNewRomanPS-BoldMT"/>
          <w:bCs/>
          <w:szCs w:val="24"/>
        </w:rPr>
        <w:t>tested</w:t>
      </w:r>
      <w:proofErr w:type="spellEnd"/>
      <w:r w:rsidRPr="002815C0">
        <w:rPr>
          <w:rFonts w:eastAsia="TimesNewRomanPS-BoldMT"/>
          <w:bCs/>
          <w:szCs w:val="24"/>
        </w:rPr>
        <w:t>», но не «</w:t>
      </w:r>
      <w:proofErr w:type="spellStart"/>
      <w:r w:rsidRPr="002815C0">
        <w:rPr>
          <w:rFonts w:eastAsia="TimesNewRomanPS-BoldMT"/>
          <w:bCs/>
          <w:szCs w:val="24"/>
        </w:rPr>
        <w:t>It</w:t>
      </w:r>
      <w:proofErr w:type="spellEnd"/>
      <w:r w:rsidRPr="002815C0">
        <w:rPr>
          <w:rFonts w:eastAsia="TimesNewRomanPS-BoldMT"/>
          <w:bCs/>
          <w:szCs w:val="24"/>
        </w:rPr>
        <w:t xml:space="preserve"> </w:t>
      </w:r>
      <w:proofErr w:type="spellStart"/>
      <w:r w:rsidRPr="002815C0">
        <w:rPr>
          <w:rFonts w:eastAsia="TimesNewRomanPS-BoldMT"/>
          <w:bCs/>
          <w:szCs w:val="24"/>
        </w:rPr>
        <w:t>was</w:t>
      </w:r>
      <w:proofErr w:type="spellEnd"/>
      <w:r w:rsidRPr="002815C0">
        <w:rPr>
          <w:rFonts w:eastAsia="TimesNewRomanPS-BoldMT"/>
          <w:bCs/>
          <w:szCs w:val="24"/>
        </w:rPr>
        <w:t xml:space="preserve"> </w:t>
      </w:r>
      <w:proofErr w:type="spellStart"/>
      <w:r w:rsidRPr="002815C0">
        <w:rPr>
          <w:rFonts w:eastAsia="TimesNewRomanPS-BoldMT"/>
          <w:bCs/>
          <w:szCs w:val="24"/>
        </w:rPr>
        <w:t>tested</w:t>
      </w:r>
      <w:proofErr w:type="spellEnd"/>
      <w:r w:rsidRPr="002815C0">
        <w:rPr>
          <w:rFonts w:eastAsia="TimesNewRomanPS-BoldMT"/>
          <w:bCs/>
          <w:szCs w:val="24"/>
        </w:rPr>
        <w:t xml:space="preserve"> </w:t>
      </w:r>
      <w:proofErr w:type="spellStart"/>
      <w:r w:rsidRPr="002815C0">
        <w:rPr>
          <w:rFonts w:eastAsia="TimesNewRomanPS-BoldMT"/>
          <w:bCs/>
          <w:szCs w:val="24"/>
        </w:rPr>
        <w:t>in</w:t>
      </w:r>
      <w:proofErr w:type="spellEnd"/>
      <w:r w:rsidRPr="002815C0">
        <w:rPr>
          <w:rFonts w:eastAsia="TimesNewRomanPS-BoldMT"/>
          <w:bCs/>
          <w:szCs w:val="24"/>
        </w:rPr>
        <w:t xml:space="preserve"> </w:t>
      </w:r>
      <w:proofErr w:type="spellStart"/>
      <w:r w:rsidRPr="002815C0">
        <w:rPr>
          <w:rFonts w:eastAsia="TimesNewRomanPS-BoldMT"/>
          <w:bCs/>
          <w:szCs w:val="24"/>
        </w:rPr>
        <w:t>this</w:t>
      </w:r>
      <w:proofErr w:type="spellEnd"/>
      <w:r w:rsidRPr="002815C0">
        <w:rPr>
          <w:rFonts w:eastAsia="TimesNewRomanPS-BoldMT"/>
          <w:bCs/>
          <w:szCs w:val="24"/>
        </w:rPr>
        <w:t xml:space="preserve"> </w:t>
      </w:r>
      <w:proofErr w:type="spellStart"/>
      <w:r w:rsidRPr="002815C0">
        <w:rPr>
          <w:rFonts w:eastAsia="TimesNewRomanPS-BoldMT"/>
          <w:bCs/>
          <w:szCs w:val="24"/>
        </w:rPr>
        <w:t>study</w:t>
      </w:r>
      <w:proofErr w:type="spellEnd"/>
      <w:r w:rsidRPr="002815C0">
        <w:rPr>
          <w:rFonts w:eastAsia="TimesNewRomanPS-BoldMT"/>
          <w:bCs/>
          <w:szCs w:val="24"/>
        </w:rPr>
        <w:t>» (частая ошибка российских аннотаций).</w:t>
      </w:r>
    </w:p>
    <w:p w:rsidR="002815C0" w:rsidRDefault="002815C0" w:rsidP="002815C0">
      <w:pPr>
        <w:autoSpaceDE w:val="0"/>
        <w:autoSpaceDN w:val="0"/>
        <w:adjustRightInd w:val="0"/>
        <w:rPr>
          <w:rFonts w:eastAsia="TimesNewRomanPS-BoldMT"/>
          <w:bCs/>
          <w:szCs w:val="24"/>
        </w:rPr>
      </w:pPr>
    </w:p>
    <w:p w:rsidR="00D85006" w:rsidRDefault="002815C0" w:rsidP="00D85006">
      <w:pPr>
        <w:autoSpaceDE w:val="0"/>
        <w:autoSpaceDN w:val="0"/>
        <w:adjustRightInd w:val="0"/>
        <w:rPr>
          <w:rStyle w:val="a5"/>
          <w:color w:val="auto"/>
          <w:szCs w:val="24"/>
          <w:u w:val="none"/>
        </w:rPr>
      </w:pPr>
      <w:r w:rsidRPr="00D85006">
        <w:rPr>
          <w:rFonts w:eastAsia="TimesNewRomanPS-BoldMT"/>
          <w:bCs/>
          <w:szCs w:val="24"/>
          <w:lang w:val="en-US"/>
        </w:rPr>
        <w:t>NB</w:t>
      </w:r>
      <w:r w:rsidRPr="00D85006">
        <w:rPr>
          <w:rFonts w:eastAsia="TimesNewRomanPS-BoldMT"/>
          <w:bCs/>
          <w:szCs w:val="24"/>
        </w:rPr>
        <w:t xml:space="preserve">! Редакция обращается к услугам переводчика, однако мы убедительно просим в авторском переводе названия статьи, аннотации и ключевых слов отмечать </w:t>
      </w:r>
      <w:r w:rsidR="00D85006" w:rsidRPr="00D85006">
        <w:rPr>
          <w:rStyle w:val="a5"/>
          <w:color w:val="auto"/>
          <w:szCs w:val="24"/>
          <w:highlight w:val="magenta"/>
          <w:u w:val="none"/>
        </w:rPr>
        <w:t>малиновым</w:t>
      </w:r>
      <w:r w:rsidR="00D85006" w:rsidRPr="00D85006">
        <w:rPr>
          <w:rFonts w:eastAsia="TimesNewRomanPS-BoldMT"/>
          <w:bCs/>
          <w:szCs w:val="24"/>
          <w:highlight w:val="magenta"/>
        </w:rPr>
        <w:t xml:space="preserve"> </w:t>
      </w:r>
      <w:r w:rsidRPr="00D85006">
        <w:rPr>
          <w:rFonts w:eastAsia="TimesNewRomanPS-BoldMT"/>
          <w:bCs/>
          <w:szCs w:val="24"/>
          <w:highlight w:val="magenta"/>
        </w:rPr>
        <w:t>маркером</w:t>
      </w:r>
      <w:r w:rsidRPr="00D85006">
        <w:rPr>
          <w:rFonts w:eastAsia="TimesNewRomanPS-BoldMT"/>
          <w:bCs/>
          <w:szCs w:val="24"/>
        </w:rPr>
        <w:t xml:space="preserve"> устоявшиеся в английской литературе термины</w:t>
      </w:r>
      <w:r w:rsidR="00D85006">
        <w:rPr>
          <w:rFonts w:eastAsia="TimesNewRomanPS-BoldMT"/>
          <w:bCs/>
          <w:szCs w:val="24"/>
        </w:rPr>
        <w:t xml:space="preserve"> </w:t>
      </w:r>
      <w:r w:rsidR="00D85006" w:rsidRPr="00D85006">
        <w:rPr>
          <w:rStyle w:val="a5"/>
          <w:color w:val="auto"/>
          <w:szCs w:val="24"/>
          <w:u w:val="none"/>
        </w:rPr>
        <w:t>и словосочетания</w:t>
      </w:r>
      <w:r w:rsidRPr="00D85006">
        <w:rPr>
          <w:rFonts w:eastAsia="TimesNewRomanPS-BoldMT"/>
          <w:bCs/>
          <w:szCs w:val="24"/>
        </w:rPr>
        <w:t>, чтобы переводчик не упустил их.</w:t>
      </w:r>
      <w:r w:rsidR="00D85006">
        <w:rPr>
          <w:rFonts w:eastAsia="TimesNewRomanPS-BoldMT"/>
          <w:bCs/>
          <w:szCs w:val="24"/>
        </w:rPr>
        <w:t xml:space="preserve"> </w:t>
      </w:r>
      <w:r w:rsidR="00D85006" w:rsidRPr="00D85006">
        <w:rPr>
          <w:rStyle w:val="a5"/>
          <w:color w:val="auto"/>
          <w:szCs w:val="24"/>
          <w:u w:val="none"/>
        </w:rPr>
        <w:t xml:space="preserve">Нет ни одного переводчика, который бы знал все специальные термины из всех сфер научного знания. </w:t>
      </w:r>
    </w:p>
    <w:p w:rsidR="00860DD4" w:rsidRDefault="00860DD4" w:rsidP="00D85006">
      <w:pPr>
        <w:autoSpaceDE w:val="0"/>
        <w:autoSpaceDN w:val="0"/>
        <w:adjustRightInd w:val="0"/>
        <w:rPr>
          <w:rStyle w:val="a5"/>
          <w:color w:val="auto"/>
          <w:szCs w:val="24"/>
          <w:u w:val="none"/>
        </w:rPr>
      </w:pPr>
    </w:p>
    <w:p w:rsidR="00860DD4" w:rsidRPr="00860DD4" w:rsidRDefault="00860DD4" w:rsidP="00860DD4">
      <w:pPr>
        <w:autoSpaceDE w:val="0"/>
        <w:autoSpaceDN w:val="0"/>
        <w:adjustRightInd w:val="0"/>
        <w:spacing w:line="360" w:lineRule="auto"/>
        <w:rPr>
          <w:szCs w:val="24"/>
        </w:rPr>
      </w:pPr>
      <w:r w:rsidRPr="00860DD4">
        <w:rPr>
          <w:szCs w:val="24"/>
        </w:rPr>
        <w:t>Объем аннотации должен составлять 200-250 слов.</w:t>
      </w:r>
    </w:p>
    <w:p w:rsidR="00860DD4" w:rsidRPr="00860DD4" w:rsidRDefault="00860DD4" w:rsidP="00D85006">
      <w:pPr>
        <w:autoSpaceDE w:val="0"/>
        <w:autoSpaceDN w:val="0"/>
        <w:adjustRightInd w:val="0"/>
        <w:rPr>
          <w:rStyle w:val="a5"/>
          <w:color w:val="auto"/>
          <w:szCs w:val="24"/>
          <w:u w:val="none"/>
        </w:rPr>
      </w:pPr>
    </w:p>
    <w:p w:rsidR="000E749F" w:rsidRDefault="000E749F" w:rsidP="00860DD4">
      <w:pPr>
        <w:autoSpaceDE w:val="0"/>
        <w:autoSpaceDN w:val="0"/>
        <w:adjustRightInd w:val="0"/>
        <w:spacing w:line="360" w:lineRule="auto"/>
        <w:rPr>
          <w:rFonts w:eastAsia="TimesNewRomanPS-BoldMT"/>
          <w:bCs/>
          <w:szCs w:val="24"/>
        </w:rPr>
      </w:pPr>
      <w:r>
        <w:t xml:space="preserve">Аннотация должна быть структурированной: </w:t>
      </w:r>
      <w:r>
        <w:rPr>
          <w:rStyle w:val="a7"/>
        </w:rPr>
        <w:t>Введение (</w:t>
      </w:r>
      <w:proofErr w:type="spellStart"/>
      <w:r>
        <w:rPr>
          <w:rStyle w:val="a7"/>
        </w:rPr>
        <w:t>Intoduction</w:t>
      </w:r>
      <w:proofErr w:type="spellEnd"/>
      <w:r>
        <w:rPr>
          <w:rStyle w:val="a7"/>
        </w:rPr>
        <w:t>):</w:t>
      </w:r>
      <w:r>
        <w:t xml:space="preserve"> с постановкой проблемы: не более 5-6 строк, </w:t>
      </w:r>
      <w:r>
        <w:rPr>
          <w:rStyle w:val="a7"/>
        </w:rPr>
        <w:t>Цель исследования (</w:t>
      </w:r>
      <w:proofErr w:type="spellStart"/>
      <w:r>
        <w:rPr>
          <w:rStyle w:val="a7"/>
        </w:rPr>
        <w:t>Purpose</w:t>
      </w:r>
      <w:proofErr w:type="spellEnd"/>
      <w:r>
        <w:rPr>
          <w:rStyle w:val="a7"/>
        </w:rPr>
        <w:t xml:space="preserve">): </w:t>
      </w:r>
      <w:r>
        <w:t xml:space="preserve">что </w:t>
      </w:r>
      <w:proofErr w:type="gramStart"/>
      <w:r>
        <w:t>сделать?,</w:t>
      </w:r>
      <w:proofErr w:type="gramEnd"/>
      <w:r>
        <w:t xml:space="preserve"> </w:t>
      </w:r>
      <w:r>
        <w:rPr>
          <w:rStyle w:val="a7"/>
        </w:rPr>
        <w:t>Методы (</w:t>
      </w:r>
      <w:proofErr w:type="spellStart"/>
      <w:r>
        <w:rPr>
          <w:rStyle w:val="a7"/>
        </w:rPr>
        <w:t>Methods</w:t>
      </w:r>
      <w:proofErr w:type="spellEnd"/>
      <w:r>
        <w:rPr>
          <w:rStyle w:val="a7"/>
        </w:rPr>
        <w:t xml:space="preserve">): </w:t>
      </w:r>
      <w:r>
        <w:t xml:space="preserve">если авторы использовали оригинальные методы исследования, если же канонические, раздел опустить, </w:t>
      </w:r>
      <w:r>
        <w:rPr>
          <w:rStyle w:val="a7"/>
        </w:rPr>
        <w:t>Результаты (</w:t>
      </w:r>
      <w:proofErr w:type="spellStart"/>
      <w:r>
        <w:rPr>
          <w:rStyle w:val="a7"/>
        </w:rPr>
        <w:t>Results</w:t>
      </w:r>
      <w:proofErr w:type="spellEnd"/>
      <w:r>
        <w:rPr>
          <w:rStyle w:val="a7"/>
        </w:rPr>
        <w:t xml:space="preserve">): </w:t>
      </w:r>
      <w:r>
        <w:t xml:space="preserve">самый объемный раздел: 12-15 строк. Здесь приводятся основные теоретические и экспериментальные результаты, фактические данные, обнаруженные взаимосвязи и закономерности. Исключите общие, абстрактные фразы типа "проанализированы методы", верным вариантом будет такой: "Анализ методов... показал, что..." и т. п., т. е. в этом разделе нужно описать </w:t>
      </w:r>
      <w:r w:rsidRPr="000E749F">
        <w:rPr>
          <w:u w:val="single"/>
        </w:rPr>
        <w:t>конкретный научный результат</w:t>
      </w:r>
      <w:r>
        <w:rPr>
          <w:u w:val="single"/>
        </w:rPr>
        <w:t xml:space="preserve">, </w:t>
      </w:r>
      <w:r w:rsidRPr="00860DD4">
        <w:rPr>
          <w:szCs w:val="24"/>
        </w:rPr>
        <w:t xml:space="preserve">нужно описать </w:t>
      </w:r>
      <w:r w:rsidRPr="00860DD4">
        <w:rPr>
          <w:b/>
          <w:szCs w:val="24"/>
        </w:rPr>
        <w:t xml:space="preserve">суть </w:t>
      </w:r>
      <w:r w:rsidRPr="00860DD4">
        <w:rPr>
          <w:szCs w:val="24"/>
        </w:rPr>
        <w:t xml:space="preserve">исследования, изложить </w:t>
      </w:r>
      <w:r w:rsidRPr="00860DD4">
        <w:rPr>
          <w:b/>
          <w:szCs w:val="24"/>
        </w:rPr>
        <w:t>суть</w:t>
      </w:r>
      <w:r w:rsidRPr="00860DD4">
        <w:rPr>
          <w:szCs w:val="24"/>
        </w:rPr>
        <w:t xml:space="preserve"> методики, алгоритма.</w:t>
      </w:r>
      <w:r>
        <w:t xml:space="preserve">  </w:t>
      </w:r>
      <w:r>
        <w:rPr>
          <w:rStyle w:val="a7"/>
        </w:rPr>
        <w:t>Практическая значимость (</w:t>
      </w:r>
      <w:proofErr w:type="spellStart"/>
      <w:r>
        <w:rPr>
          <w:rStyle w:val="a7"/>
        </w:rPr>
        <w:t>Practical</w:t>
      </w:r>
      <w:proofErr w:type="spellEnd"/>
      <w:r>
        <w:rPr>
          <w:rStyle w:val="a7"/>
        </w:rPr>
        <w:t xml:space="preserve"> </w:t>
      </w:r>
      <w:proofErr w:type="spellStart"/>
      <w:r>
        <w:rPr>
          <w:rStyle w:val="a7"/>
        </w:rPr>
        <w:t>relevance</w:t>
      </w:r>
      <w:proofErr w:type="spellEnd"/>
      <w:r>
        <w:rPr>
          <w:rStyle w:val="a7"/>
        </w:rPr>
        <w:t xml:space="preserve">): </w:t>
      </w:r>
      <w:r>
        <w:t xml:space="preserve">если есть практическая значимость </w:t>
      </w:r>
      <w:r>
        <w:rPr>
          <w:rStyle w:val="a8"/>
        </w:rPr>
        <w:t>авторского результата</w:t>
      </w:r>
      <w:r>
        <w:t xml:space="preserve">. </w:t>
      </w:r>
      <w:r>
        <w:rPr>
          <w:rStyle w:val="a7"/>
        </w:rPr>
        <w:t>Обсуждение (</w:t>
      </w:r>
      <w:proofErr w:type="spellStart"/>
      <w:r>
        <w:rPr>
          <w:rStyle w:val="a7"/>
        </w:rPr>
        <w:t>Discussion</w:t>
      </w:r>
      <w:proofErr w:type="spellEnd"/>
      <w:r>
        <w:rPr>
          <w:rStyle w:val="a7"/>
        </w:rPr>
        <w:t xml:space="preserve">): </w:t>
      </w:r>
      <w:r>
        <w:rPr>
          <w:rStyle w:val="a7"/>
        </w:rPr>
        <w:t xml:space="preserve">- </w:t>
      </w:r>
      <w:r w:rsidRPr="00860DD4">
        <w:rPr>
          <w:rFonts w:eastAsia="TimesNewRomanPS-BoldMT"/>
          <w:bCs/>
          <w:szCs w:val="24"/>
        </w:rPr>
        <w:t>если нужно</w:t>
      </w:r>
      <w:r>
        <w:rPr>
          <w:rFonts w:eastAsia="TimesNewRomanPS-BoldMT"/>
          <w:bCs/>
          <w:szCs w:val="24"/>
        </w:rPr>
        <w:t>:</w:t>
      </w:r>
      <w:r>
        <w:t xml:space="preserve"> </w:t>
      </w:r>
      <w:r>
        <w:t>рекомендации, оценки, предложения, гипотезы, оставшиеся не решенными проблемы и т. п.</w:t>
      </w:r>
    </w:p>
    <w:p w:rsidR="00860DD4" w:rsidRPr="00860DD4" w:rsidRDefault="00860DD4" w:rsidP="00860DD4">
      <w:pPr>
        <w:autoSpaceDE w:val="0"/>
        <w:autoSpaceDN w:val="0"/>
        <w:adjustRightInd w:val="0"/>
        <w:spacing w:line="360" w:lineRule="auto"/>
        <w:rPr>
          <w:szCs w:val="24"/>
        </w:rPr>
      </w:pPr>
    </w:p>
    <w:p w:rsidR="008E71CD" w:rsidRPr="00860DD4" w:rsidRDefault="009362C3" w:rsidP="009362C3">
      <w:pPr>
        <w:autoSpaceDE w:val="0"/>
        <w:autoSpaceDN w:val="0"/>
        <w:adjustRightInd w:val="0"/>
        <w:spacing w:line="360" w:lineRule="auto"/>
        <w:rPr>
          <w:rFonts w:eastAsia="TimesNewRomanPS-BoldMT"/>
          <w:bCs/>
          <w:szCs w:val="24"/>
        </w:rPr>
      </w:pPr>
      <w:r w:rsidRPr="00860DD4">
        <w:rPr>
          <w:rFonts w:eastAsia="TimesNewRomanPS-BoldMT"/>
          <w:b/>
          <w:bCs/>
          <w:szCs w:val="24"/>
          <w:u w:val="single"/>
        </w:rPr>
        <w:t>Пример структурированной</w:t>
      </w:r>
      <w:r w:rsidR="002B094D" w:rsidRPr="00860DD4">
        <w:rPr>
          <w:rFonts w:eastAsia="TimesNewRomanPS-BoldMT"/>
          <w:b/>
          <w:bCs/>
          <w:szCs w:val="24"/>
          <w:u w:val="single"/>
        </w:rPr>
        <w:t xml:space="preserve"> </w:t>
      </w:r>
      <w:r w:rsidRPr="00860DD4">
        <w:rPr>
          <w:rFonts w:eastAsia="TimesNewRomanPS-BoldMT"/>
          <w:b/>
          <w:bCs/>
          <w:szCs w:val="24"/>
          <w:u w:val="single"/>
        </w:rPr>
        <w:t xml:space="preserve">аннотации </w:t>
      </w:r>
      <w:r w:rsidR="002B094D" w:rsidRPr="00860DD4">
        <w:rPr>
          <w:rFonts w:eastAsia="TimesNewRomanPS-BoldMT"/>
          <w:b/>
          <w:bCs/>
          <w:szCs w:val="24"/>
          <w:u w:val="single"/>
        </w:rPr>
        <w:t>из русского журнала</w:t>
      </w:r>
      <w:r w:rsidR="002B094D" w:rsidRPr="00860DD4">
        <w:rPr>
          <w:rFonts w:eastAsia="TimesNewRomanPS-BoldMT"/>
          <w:b/>
          <w:bCs/>
          <w:szCs w:val="24"/>
        </w:rPr>
        <w:t xml:space="preserve"> </w:t>
      </w:r>
    </w:p>
    <w:p w:rsidR="000E749F" w:rsidRPr="000E749F" w:rsidRDefault="000E749F" w:rsidP="000E749F">
      <w:pPr>
        <w:spacing w:line="276" w:lineRule="auto"/>
        <w:rPr>
          <w:i/>
          <w:szCs w:val="24"/>
          <w:u w:val="single"/>
        </w:rPr>
      </w:pPr>
      <w:r w:rsidRPr="000E749F">
        <w:rPr>
          <w:b/>
          <w:szCs w:val="24"/>
        </w:rPr>
        <w:t xml:space="preserve">Введение: </w:t>
      </w:r>
      <w:r w:rsidRPr="000E749F">
        <w:rPr>
          <w:szCs w:val="24"/>
        </w:rPr>
        <w:t xml:space="preserve">разработка </w:t>
      </w:r>
      <w:proofErr w:type="spellStart"/>
      <w:r w:rsidRPr="000E749F">
        <w:rPr>
          <w:szCs w:val="24"/>
        </w:rPr>
        <w:t>постквантовых</w:t>
      </w:r>
      <w:proofErr w:type="spellEnd"/>
      <w:r w:rsidRPr="000E749F">
        <w:rPr>
          <w:szCs w:val="24"/>
        </w:rPr>
        <w:t xml:space="preserve"> стандартов на алгоритмы цифровой подписи является одним из современных вызовов для мирового криптографического сообщества. Недавно предложены два типа алгебраических схем подписи со скрытой группой, в которых конечные некоммутативные ассоциативные алгебры над полем </w:t>
      </w:r>
      <w:r w:rsidRPr="000E749F">
        <w:rPr>
          <w:i/>
          <w:szCs w:val="24"/>
          <w:lang w:val="en-US"/>
        </w:rPr>
        <w:t>GF</w:t>
      </w:r>
      <w:r w:rsidRPr="000E749F">
        <w:rPr>
          <w:szCs w:val="24"/>
        </w:rPr>
        <w:t>(</w:t>
      </w:r>
      <w:r w:rsidRPr="000E749F">
        <w:rPr>
          <w:i/>
          <w:szCs w:val="24"/>
          <w:lang w:val="en-US"/>
        </w:rPr>
        <w:t>p</w:t>
      </w:r>
      <w:r w:rsidRPr="000E749F">
        <w:rPr>
          <w:szCs w:val="24"/>
        </w:rPr>
        <w:t>) используются в качестве алгебраического носителя. Построение алгоритмов этого типа на алгебрах, заданных над конечными полями характеристики два, представляет значительный интерес для повышения производительности и снижения схемотехнической сложности аппаратной реализации.</w:t>
      </w:r>
      <w:r w:rsidRPr="000E749F">
        <w:rPr>
          <w:b/>
          <w:szCs w:val="24"/>
        </w:rPr>
        <w:t xml:space="preserve"> Цель: </w:t>
      </w:r>
      <w:r w:rsidRPr="000E749F">
        <w:rPr>
          <w:szCs w:val="24"/>
        </w:rPr>
        <w:t xml:space="preserve">разработать </w:t>
      </w:r>
      <w:proofErr w:type="spellStart"/>
      <w:r w:rsidRPr="000E749F">
        <w:rPr>
          <w:szCs w:val="24"/>
        </w:rPr>
        <w:t>постквантовые</w:t>
      </w:r>
      <w:proofErr w:type="spellEnd"/>
      <w:r w:rsidRPr="000E749F">
        <w:rPr>
          <w:szCs w:val="24"/>
        </w:rPr>
        <w:t xml:space="preserve"> алгоритмы цифровой подписи, в которых выполняются вычисления в конечных полях характеристики два. </w:t>
      </w:r>
      <w:r w:rsidRPr="000E749F">
        <w:rPr>
          <w:b/>
          <w:szCs w:val="24"/>
        </w:rPr>
        <w:t>Результаты:</w:t>
      </w:r>
      <w:r w:rsidRPr="000E749F">
        <w:rPr>
          <w:szCs w:val="24"/>
        </w:rPr>
        <w:t xml:space="preserve"> предложены несколько четырехмерных конечных </w:t>
      </w:r>
      <w:proofErr w:type="spellStart"/>
      <w:r w:rsidRPr="000E749F">
        <w:rPr>
          <w:szCs w:val="24"/>
        </w:rPr>
        <w:t>некоммуттивных</w:t>
      </w:r>
      <w:proofErr w:type="spellEnd"/>
      <w:r w:rsidRPr="000E749F">
        <w:rPr>
          <w:szCs w:val="24"/>
        </w:rPr>
        <w:t xml:space="preserve"> алгебр, заданных над полем </w:t>
      </w:r>
      <w:r w:rsidRPr="000E749F">
        <w:rPr>
          <w:i/>
          <w:szCs w:val="24"/>
          <w:lang w:val="en-US"/>
        </w:rPr>
        <w:t>GF</w:t>
      </w:r>
      <w:r w:rsidRPr="000E749F">
        <w:rPr>
          <w:szCs w:val="24"/>
        </w:rPr>
        <w:t>(2</w:t>
      </w:r>
      <w:r w:rsidRPr="000E749F">
        <w:rPr>
          <w:i/>
          <w:szCs w:val="24"/>
          <w:vertAlign w:val="superscript"/>
          <w:lang w:val="en-US"/>
        </w:rPr>
        <w:t>z</w:t>
      </w:r>
      <w:r w:rsidRPr="000E749F">
        <w:rPr>
          <w:szCs w:val="24"/>
        </w:rPr>
        <w:t xml:space="preserve">), в качестве алгебраических носителей схем цифровой подписи со скрытой группой. Разработаны рекомендации по выбору значения степени расширения </w:t>
      </w:r>
      <w:r w:rsidRPr="000E749F">
        <w:rPr>
          <w:i/>
          <w:szCs w:val="24"/>
          <w:lang w:val="en-US"/>
        </w:rPr>
        <w:t>z</w:t>
      </w:r>
      <w:r w:rsidRPr="000E749F">
        <w:rPr>
          <w:szCs w:val="24"/>
        </w:rPr>
        <w:t xml:space="preserve">. В частных случаях значение </w:t>
      </w:r>
      <w:r w:rsidRPr="000E749F">
        <w:rPr>
          <w:i/>
          <w:szCs w:val="24"/>
          <w:lang w:val="en-US"/>
        </w:rPr>
        <w:t>z</w:t>
      </w:r>
      <w:r w:rsidRPr="000E749F">
        <w:rPr>
          <w:szCs w:val="24"/>
        </w:rPr>
        <w:t xml:space="preserve"> является степенью </w:t>
      </w:r>
      <w:proofErr w:type="spellStart"/>
      <w:r w:rsidRPr="000E749F">
        <w:rPr>
          <w:szCs w:val="24"/>
        </w:rPr>
        <w:t>Мерсенна</w:t>
      </w:r>
      <w:proofErr w:type="spellEnd"/>
      <w:r w:rsidRPr="000E749F">
        <w:rPr>
          <w:szCs w:val="24"/>
        </w:rPr>
        <w:t xml:space="preserve">. По сравнению со схемами подписи, основанными на скрытой задаче </w:t>
      </w:r>
      <w:r w:rsidRPr="000E749F">
        <w:rPr>
          <w:szCs w:val="24"/>
        </w:rPr>
        <w:lastRenderedPageBreak/>
        <w:t xml:space="preserve">дискретного логарифмирования, алгебраические алгоритмы подписи со скрытой группой, основанные на вычислительной сложности решения систем многих квадратных уравнений с многими неизвестными, рассматриваются как предпочтительные кандидаты на </w:t>
      </w:r>
      <w:proofErr w:type="spellStart"/>
      <w:r w:rsidRPr="000E749F">
        <w:rPr>
          <w:szCs w:val="24"/>
        </w:rPr>
        <w:t>постквантовые</w:t>
      </w:r>
      <w:proofErr w:type="spellEnd"/>
      <w:r w:rsidRPr="000E749F">
        <w:rPr>
          <w:szCs w:val="24"/>
        </w:rPr>
        <w:t xml:space="preserve"> </w:t>
      </w:r>
      <w:proofErr w:type="spellStart"/>
      <w:r w:rsidRPr="000E749F">
        <w:rPr>
          <w:szCs w:val="24"/>
        </w:rPr>
        <w:t>криптосхемы</w:t>
      </w:r>
      <w:proofErr w:type="spellEnd"/>
      <w:r w:rsidRPr="000E749F">
        <w:rPr>
          <w:szCs w:val="24"/>
        </w:rPr>
        <w:t>.</w:t>
      </w:r>
      <w:r w:rsidRPr="000E749F">
        <w:rPr>
          <w:rStyle w:val="jlqj4b"/>
          <w:szCs w:val="24"/>
        </w:rPr>
        <w:t xml:space="preserve"> Предложены новые практичные алгоритмы подписи со скрытой группой. В двух алгоритмах подпись</w:t>
      </w:r>
      <w:r w:rsidRPr="000E749F">
        <w:rPr>
          <w:szCs w:val="24"/>
        </w:rPr>
        <w:t xml:space="preserve"> (</w:t>
      </w:r>
      <w:r w:rsidRPr="000E749F">
        <w:rPr>
          <w:i/>
          <w:szCs w:val="24"/>
          <w:lang w:val="en-US"/>
        </w:rPr>
        <w:t>e</w:t>
      </w:r>
      <w:r w:rsidRPr="000E749F">
        <w:rPr>
          <w:szCs w:val="24"/>
        </w:rPr>
        <w:t xml:space="preserve">, </w:t>
      </w:r>
      <w:r w:rsidRPr="000E749F">
        <w:rPr>
          <w:b/>
          <w:szCs w:val="24"/>
          <w:lang w:val="en-US"/>
        </w:rPr>
        <w:t>S</w:t>
      </w:r>
      <w:r w:rsidRPr="000E749F">
        <w:rPr>
          <w:szCs w:val="24"/>
        </w:rPr>
        <w:t xml:space="preserve">) представляет собой целое число </w:t>
      </w:r>
      <w:r w:rsidRPr="000E749F">
        <w:rPr>
          <w:i/>
          <w:szCs w:val="24"/>
          <w:lang w:val="en-US"/>
        </w:rPr>
        <w:t>e</w:t>
      </w:r>
      <w:r w:rsidRPr="000E749F">
        <w:rPr>
          <w:szCs w:val="24"/>
        </w:rPr>
        <w:t xml:space="preserve"> и четырехмерный вектор </w:t>
      </w:r>
      <w:r w:rsidRPr="000E749F">
        <w:rPr>
          <w:b/>
          <w:szCs w:val="24"/>
          <w:lang w:val="en-US"/>
        </w:rPr>
        <w:t>S</w:t>
      </w:r>
      <w:r w:rsidRPr="000E749F">
        <w:rPr>
          <w:szCs w:val="24"/>
        </w:rPr>
        <w:t xml:space="preserve">. Верификация подписи выполняется по векторным уравнениям с тремя и четырьмя вхождениями элемента подписи </w:t>
      </w:r>
      <w:r w:rsidRPr="000E749F">
        <w:rPr>
          <w:b/>
          <w:szCs w:val="24"/>
          <w:lang w:val="en-US"/>
        </w:rPr>
        <w:t>S</w:t>
      </w:r>
      <w:r w:rsidRPr="000E749F">
        <w:rPr>
          <w:szCs w:val="24"/>
        </w:rPr>
        <w:t xml:space="preserve">. </w:t>
      </w:r>
      <w:r w:rsidRPr="000E749F">
        <w:rPr>
          <w:b/>
          <w:szCs w:val="24"/>
        </w:rPr>
        <w:t>Практическая значимость:</w:t>
      </w:r>
      <w:r w:rsidRPr="000E749F">
        <w:rPr>
          <w:szCs w:val="24"/>
        </w:rPr>
        <w:t xml:space="preserve"> как и другие известные схемы подписи со скрытой группой, предложенные две схемы имеют достаточно малый размер подписи и открытого ключа. Благодаря сравнительно малой схемотехнической сложности аппаратной реализации и высокой производительности разработанные алгоритмы цифровой подписи представляют практический интерес и привлекательны как потенциальный прототип стандарта на </w:t>
      </w:r>
      <w:proofErr w:type="spellStart"/>
      <w:r w:rsidRPr="000E749F">
        <w:rPr>
          <w:szCs w:val="24"/>
        </w:rPr>
        <w:t>постквантовые</w:t>
      </w:r>
      <w:proofErr w:type="spellEnd"/>
      <w:r w:rsidRPr="000E749F">
        <w:rPr>
          <w:szCs w:val="24"/>
        </w:rPr>
        <w:t xml:space="preserve"> алгоритмы цифровой подписи.</w:t>
      </w:r>
    </w:p>
    <w:p w:rsidR="00AD0463" w:rsidRDefault="000E749F" w:rsidP="000E749F">
      <w:pPr>
        <w:spacing w:line="276" w:lineRule="auto"/>
        <w:rPr>
          <w:szCs w:val="24"/>
        </w:rPr>
      </w:pPr>
      <w:r w:rsidRPr="000E749F">
        <w:rPr>
          <w:b/>
          <w:szCs w:val="24"/>
        </w:rPr>
        <w:t xml:space="preserve">Ключевые слова </w:t>
      </w:r>
      <w:r w:rsidRPr="000E749F">
        <w:rPr>
          <w:szCs w:val="24"/>
        </w:rPr>
        <w:t xml:space="preserve">— </w:t>
      </w:r>
      <w:proofErr w:type="spellStart"/>
      <w:r w:rsidRPr="000E749F">
        <w:rPr>
          <w:szCs w:val="24"/>
        </w:rPr>
        <w:t>постквантовые</w:t>
      </w:r>
      <w:proofErr w:type="spellEnd"/>
      <w:r w:rsidRPr="000E749F">
        <w:rPr>
          <w:szCs w:val="24"/>
        </w:rPr>
        <w:t xml:space="preserve"> </w:t>
      </w:r>
      <w:proofErr w:type="spellStart"/>
      <w:r w:rsidRPr="000E749F">
        <w:rPr>
          <w:szCs w:val="24"/>
        </w:rPr>
        <w:t>криптосхемы</w:t>
      </w:r>
      <w:proofErr w:type="spellEnd"/>
      <w:r w:rsidRPr="000E749F">
        <w:rPr>
          <w:szCs w:val="24"/>
        </w:rPr>
        <w:t>, компьютерная безопасность, электронная цифровая подпись, многомерная криптография, задача дискретного логарифмирования, конечные некоммутативные алгебры, ассоциативные алгебры, циклические группы, многомерная цикличность.</w:t>
      </w:r>
    </w:p>
    <w:p w:rsidR="000E749F" w:rsidRDefault="000E749F" w:rsidP="000E749F">
      <w:pPr>
        <w:spacing w:line="276" w:lineRule="auto"/>
        <w:rPr>
          <w:szCs w:val="24"/>
        </w:rPr>
      </w:pPr>
    </w:p>
    <w:p w:rsidR="000E749F" w:rsidRPr="00860DD4" w:rsidRDefault="000E749F" w:rsidP="000E749F">
      <w:pPr>
        <w:autoSpaceDE w:val="0"/>
        <w:autoSpaceDN w:val="0"/>
        <w:adjustRightInd w:val="0"/>
        <w:spacing w:line="276" w:lineRule="auto"/>
        <w:rPr>
          <w:rFonts w:eastAsia="TimesNewRomanPS-BoldMT"/>
          <w:b/>
          <w:bCs/>
          <w:szCs w:val="24"/>
          <w:u w:val="single"/>
        </w:rPr>
      </w:pPr>
      <w:r w:rsidRPr="00860DD4">
        <w:rPr>
          <w:rFonts w:eastAsia="TimesNewRomanPS-BoldMT"/>
          <w:b/>
          <w:bCs/>
          <w:szCs w:val="24"/>
          <w:u w:val="single"/>
        </w:rPr>
        <w:t>Пример структурированно</w:t>
      </w:r>
      <w:r>
        <w:rPr>
          <w:rFonts w:eastAsia="TimesNewRomanPS-BoldMT"/>
          <w:b/>
          <w:bCs/>
          <w:szCs w:val="24"/>
          <w:u w:val="single"/>
        </w:rPr>
        <w:t>й аннотации</w:t>
      </w:r>
      <w:r w:rsidRPr="00860DD4">
        <w:rPr>
          <w:rFonts w:eastAsia="TimesNewRomanPS-BoldMT"/>
          <w:b/>
          <w:bCs/>
          <w:szCs w:val="24"/>
          <w:u w:val="single"/>
        </w:rPr>
        <w:t xml:space="preserve"> из иностранного журнала в </w:t>
      </w:r>
      <w:proofErr w:type="spellStart"/>
      <w:r w:rsidRPr="00860DD4">
        <w:rPr>
          <w:rFonts w:eastAsia="TimesNewRomanPS-BoldMT"/>
          <w:b/>
          <w:bCs/>
          <w:szCs w:val="24"/>
          <w:u w:val="single"/>
        </w:rPr>
        <w:t>Scopus</w:t>
      </w:r>
      <w:proofErr w:type="spellEnd"/>
      <w:r w:rsidRPr="00860DD4">
        <w:rPr>
          <w:rFonts w:eastAsia="TimesNewRomanPS-BoldMT"/>
          <w:b/>
          <w:bCs/>
          <w:szCs w:val="24"/>
          <w:u w:val="single"/>
        </w:rPr>
        <w:t>:</w:t>
      </w:r>
    </w:p>
    <w:p w:rsidR="000E749F" w:rsidRPr="00860DD4" w:rsidRDefault="000E749F" w:rsidP="000E749F">
      <w:pPr>
        <w:autoSpaceDE w:val="0"/>
        <w:autoSpaceDN w:val="0"/>
        <w:adjustRightInd w:val="0"/>
        <w:spacing w:line="276" w:lineRule="auto"/>
        <w:rPr>
          <w:rFonts w:eastAsia="TimesNewRomanPSMT"/>
          <w:szCs w:val="24"/>
          <w:lang w:val="en-US"/>
        </w:rPr>
      </w:pPr>
      <w:r w:rsidRPr="00860DD4">
        <w:rPr>
          <w:rFonts w:eastAsia="TimesNewRomanPS-BoldMT"/>
          <w:b/>
          <w:bCs/>
          <w:szCs w:val="24"/>
          <w:lang w:val="en-US"/>
        </w:rPr>
        <w:t xml:space="preserve">Purpose: </w:t>
      </w:r>
      <w:r w:rsidRPr="00860DD4">
        <w:rPr>
          <w:rFonts w:eastAsia="TimesNewRomanPSMT"/>
          <w:szCs w:val="24"/>
          <w:lang w:val="en-US"/>
        </w:rPr>
        <w:t xml:space="preserve">Because of the large and continuous energetic requirements of brain function, </w:t>
      </w:r>
      <w:proofErr w:type="spellStart"/>
      <w:r w:rsidRPr="00860DD4">
        <w:rPr>
          <w:rFonts w:eastAsia="TimesNewRomanPSMT"/>
          <w:szCs w:val="24"/>
          <w:lang w:val="en-US"/>
        </w:rPr>
        <w:t>neurometabolic</w:t>
      </w:r>
      <w:proofErr w:type="spellEnd"/>
      <w:r w:rsidRPr="00860DD4">
        <w:rPr>
          <w:rFonts w:eastAsia="TimesNewRomanPSMT"/>
          <w:szCs w:val="24"/>
          <w:lang w:val="en-US"/>
        </w:rPr>
        <w:t xml:space="preserve"> dysfunction is a key pathophysiologic aspect of the epileptic brain. Additionally, </w:t>
      </w:r>
      <w:proofErr w:type="spellStart"/>
      <w:r w:rsidRPr="00860DD4">
        <w:rPr>
          <w:rFonts w:eastAsia="TimesNewRomanPSMT"/>
          <w:szCs w:val="24"/>
          <w:lang w:val="en-US"/>
        </w:rPr>
        <w:t>neurometabolic</w:t>
      </w:r>
      <w:proofErr w:type="spellEnd"/>
      <w:r w:rsidRPr="00860DD4">
        <w:rPr>
          <w:rFonts w:eastAsia="TimesNewRomanPSMT"/>
          <w:szCs w:val="24"/>
          <w:lang w:val="en-US"/>
        </w:rPr>
        <w:t xml:space="preserve"> dysfunction has many self-propagating features that are typical of epileptogenic processes, that is, where each occurrence makes the likelihood of further mitochondrial and energetic injury more probable. Thus abnormal </w:t>
      </w:r>
      <w:proofErr w:type="spellStart"/>
      <w:r w:rsidRPr="00860DD4">
        <w:rPr>
          <w:rFonts w:eastAsia="TimesNewRomanPSMT"/>
          <w:szCs w:val="24"/>
          <w:lang w:val="en-US"/>
        </w:rPr>
        <w:t>neurometabolism</w:t>
      </w:r>
      <w:proofErr w:type="spellEnd"/>
      <w:r w:rsidRPr="00860DD4">
        <w:rPr>
          <w:rFonts w:eastAsia="TimesNewRomanPSMT"/>
          <w:szCs w:val="24"/>
          <w:lang w:val="en-US"/>
        </w:rPr>
        <w:t xml:space="preserve"> may be not only a chronic accompaniment of the epileptic brain, but also a direct contributor to </w:t>
      </w:r>
      <w:proofErr w:type="spellStart"/>
      <w:r w:rsidRPr="00860DD4">
        <w:rPr>
          <w:rFonts w:eastAsia="TimesNewRomanPSMT"/>
          <w:szCs w:val="24"/>
          <w:lang w:val="en-US"/>
        </w:rPr>
        <w:t>epileptogenesis</w:t>
      </w:r>
      <w:proofErr w:type="spellEnd"/>
      <w:r w:rsidRPr="00860DD4">
        <w:rPr>
          <w:rFonts w:eastAsia="TimesNewRomanPSMT"/>
          <w:szCs w:val="24"/>
          <w:lang w:val="en-US"/>
        </w:rPr>
        <w:t xml:space="preserve">. </w:t>
      </w:r>
      <w:r w:rsidRPr="00860DD4">
        <w:rPr>
          <w:rFonts w:eastAsia="TimesNewRomanPSMT"/>
          <w:b/>
          <w:szCs w:val="24"/>
          <w:lang w:val="en-US"/>
        </w:rPr>
        <w:t>Methods:</w:t>
      </w:r>
      <w:r w:rsidRPr="00860DD4">
        <w:rPr>
          <w:rFonts w:eastAsia="TimesNewRomanPSMT"/>
          <w:szCs w:val="24"/>
          <w:lang w:val="en-US"/>
        </w:rPr>
        <w:t xml:space="preserve"> We examine the evidence for </w:t>
      </w:r>
      <w:proofErr w:type="spellStart"/>
      <w:r w:rsidRPr="00860DD4">
        <w:rPr>
          <w:rFonts w:eastAsia="TimesNewRomanPSMT"/>
          <w:szCs w:val="24"/>
          <w:lang w:val="en-US"/>
        </w:rPr>
        <w:t>neurometabolic</w:t>
      </w:r>
      <w:proofErr w:type="spellEnd"/>
      <w:r w:rsidRPr="00860DD4">
        <w:rPr>
          <w:rFonts w:eastAsia="TimesNewRomanPSMT"/>
          <w:szCs w:val="24"/>
          <w:lang w:val="en-US"/>
        </w:rPr>
        <w:t xml:space="preserve"> dysfunction in epilepsy, integrating human studies of metabolic imaging, electrophysiology, </w:t>
      </w:r>
      <w:proofErr w:type="spellStart"/>
      <w:r w:rsidRPr="00860DD4">
        <w:rPr>
          <w:rFonts w:eastAsia="TimesNewRomanPSMT"/>
          <w:szCs w:val="24"/>
          <w:lang w:val="en-US"/>
        </w:rPr>
        <w:t>microdialysis</w:t>
      </w:r>
      <w:proofErr w:type="spellEnd"/>
      <w:r w:rsidRPr="00860DD4">
        <w:rPr>
          <w:rFonts w:eastAsia="TimesNewRomanPSMT"/>
          <w:szCs w:val="24"/>
          <w:lang w:val="en-US"/>
        </w:rPr>
        <w:t xml:space="preserve">, as well as intracranial EEG and neuropathology. </w:t>
      </w:r>
      <w:r w:rsidRPr="00860DD4">
        <w:rPr>
          <w:rFonts w:eastAsia="TimesNewRomanPS-BoldMT"/>
          <w:b/>
          <w:bCs/>
          <w:szCs w:val="24"/>
          <w:lang w:val="en-US"/>
        </w:rPr>
        <w:t xml:space="preserve">Results: </w:t>
      </w:r>
      <w:r w:rsidRPr="00860DD4">
        <w:rPr>
          <w:rFonts w:eastAsia="TimesNewRomanPSMT"/>
          <w:szCs w:val="24"/>
          <w:lang w:val="en-US"/>
        </w:rPr>
        <w:t xml:space="preserve">As an approach of noninvasive functional imaging, quantitative magnetic resonance spectroscopic </w:t>
      </w:r>
      <w:proofErr w:type="gramStart"/>
      <w:r w:rsidRPr="00860DD4">
        <w:rPr>
          <w:rFonts w:eastAsia="TimesNewRomanPSMT"/>
          <w:szCs w:val="24"/>
          <w:lang w:val="en-US"/>
        </w:rPr>
        <w:t>imaging  measured</w:t>
      </w:r>
      <w:proofErr w:type="gramEnd"/>
      <w:r w:rsidRPr="00860DD4">
        <w:rPr>
          <w:rFonts w:eastAsia="TimesNewRomanPSMT"/>
          <w:szCs w:val="24"/>
          <w:lang w:val="en-US"/>
        </w:rPr>
        <w:t xml:space="preserve"> abnormalities of mitochondrial</w:t>
      </w:r>
    </w:p>
    <w:p w:rsidR="000E749F" w:rsidRPr="00860DD4" w:rsidRDefault="000E749F" w:rsidP="000E749F">
      <w:pPr>
        <w:autoSpaceDE w:val="0"/>
        <w:autoSpaceDN w:val="0"/>
        <w:adjustRightInd w:val="0"/>
        <w:spacing w:line="276" w:lineRule="auto"/>
        <w:rPr>
          <w:rFonts w:eastAsia="TimesNewRomanPSMT"/>
          <w:szCs w:val="24"/>
          <w:lang w:val="en-US"/>
        </w:rPr>
      </w:pPr>
      <w:r w:rsidRPr="00860DD4">
        <w:rPr>
          <w:rFonts w:eastAsia="TimesNewRomanPSMT"/>
          <w:szCs w:val="24"/>
          <w:lang w:val="en-US"/>
        </w:rPr>
        <w:t xml:space="preserve">and energetic dysfunction (via 1H or 31P spectroscopy) are related to several pathophysiologic indices of epileptic dysfunction. With patients undergoing hippocampal resection, intraoperative 13C-glucose turnover studies show a profound decrease in neurotransmitter (glutamate-glutamine) cycling relative to oxidation in the sclerotic hippocampus. Increased extracellular glutamate (which has long been associated with increased seizure likelihood) is significantly linked with declining energetics as measured by 31P MR, as well as with increased EEG measures of </w:t>
      </w:r>
      <w:proofErr w:type="spellStart"/>
      <w:r w:rsidRPr="00860DD4">
        <w:rPr>
          <w:rFonts w:eastAsia="TimesNewRomanPSMT"/>
          <w:szCs w:val="24"/>
          <w:lang w:val="en-US"/>
        </w:rPr>
        <w:t>Teager</w:t>
      </w:r>
      <w:proofErr w:type="spellEnd"/>
      <w:r w:rsidRPr="00860DD4">
        <w:rPr>
          <w:rFonts w:eastAsia="TimesNewRomanPSMT"/>
          <w:szCs w:val="24"/>
          <w:lang w:val="en-US"/>
        </w:rPr>
        <w:t xml:space="preserve"> energy, further arguing for a direct role of glutamate with </w:t>
      </w:r>
      <w:proofErr w:type="spellStart"/>
      <w:r w:rsidRPr="00860DD4">
        <w:rPr>
          <w:rFonts w:eastAsia="TimesNewRomanPSMT"/>
          <w:szCs w:val="24"/>
          <w:lang w:val="en-US"/>
        </w:rPr>
        <w:t>hyperexcitability</w:t>
      </w:r>
      <w:proofErr w:type="spellEnd"/>
      <w:r w:rsidRPr="00860DD4">
        <w:rPr>
          <w:rFonts w:eastAsia="TimesNewRomanPSMT"/>
          <w:szCs w:val="24"/>
          <w:lang w:val="en-US"/>
        </w:rPr>
        <w:t xml:space="preserve">. </w:t>
      </w:r>
      <w:r w:rsidRPr="00860DD4">
        <w:rPr>
          <w:rFonts w:eastAsia="TimesNewRomanPS-BoldMT"/>
          <w:b/>
          <w:bCs/>
          <w:szCs w:val="24"/>
          <w:lang w:val="en-US"/>
        </w:rPr>
        <w:t xml:space="preserve">Discussion: </w:t>
      </w:r>
      <w:r w:rsidRPr="00860DD4">
        <w:rPr>
          <w:rFonts w:eastAsia="TimesNewRomanPSMT"/>
          <w:szCs w:val="24"/>
          <w:lang w:val="en-US"/>
        </w:rPr>
        <w:t xml:space="preserve">Given the important contribution that metabolic performance makes toward </w:t>
      </w:r>
      <w:bookmarkStart w:id="0" w:name="_GoBack"/>
      <w:bookmarkEnd w:id="0"/>
      <w:r w:rsidRPr="00860DD4">
        <w:rPr>
          <w:rFonts w:eastAsia="TimesNewRomanPSMT"/>
          <w:szCs w:val="24"/>
          <w:lang w:val="en-US"/>
        </w:rPr>
        <w:t xml:space="preserve">excitability in brain, it is not surprising that numerous aspects of mitochondrial and energetic state link significantly with </w:t>
      </w:r>
      <w:proofErr w:type="spellStart"/>
      <w:r w:rsidRPr="00860DD4">
        <w:rPr>
          <w:rFonts w:eastAsia="TimesNewRomanPSMT"/>
          <w:szCs w:val="24"/>
          <w:lang w:val="en-US"/>
        </w:rPr>
        <w:t>electrophysiologic</w:t>
      </w:r>
      <w:proofErr w:type="spellEnd"/>
      <w:r w:rsidRPr="00860DD4">
        <w:rPr>
          <w:rFonts w:eastAsia="TimesNewRomanPSMT"/>
          <w:szCs w:val="24"/>
          <w:lang w:val="en-US"/>
        </w:rPr>
        <w:t xml:space="preserve"> and </w:t>
      </w:r>
      <w:proofErr w:type="spellStart"/>
      <w:r w:rsidRPr="00860DD4">
        <w:rPr>
          <w:rFonts w:eastAsia="TimesNewRomanPSMT"/>
          <w:szCs w:val="24"/>
          <w:lang w:val="en-US"/>
        </w:rPr>
        <w:t>microdialysis</w:t>
      </w:r>
      <w:proofErr w:type="spellEnd"/>
      <w:r w:rsidRPr="00860DD4">
        <w:rPr>
          <w:rFonts w:eastAsia="TimesNewRomanPSMT"/>
          <w:szCs w:val="24"/>
          <w:lang w:val="en-US"/>
        </w:rPr>
        <w:t xml:space="preserve"> measures in human epilepsy. This may be of particular relevance with the self-propagating nature of mitochondrial injury, but may also help define the conditions for which interventions may be developed. </w:t>
      </w:r>
    </w:p>
    <w:p w:rsidR="000E749F" w:rsidRPr="000E749F" w:rsidRDefault="000E749F" w:rsidP="000E749F">
      <w:pPr>
        <w:spacing w:line="276" w:lineRule="auto"/>
        <w:rPr>
          <w:b/>
          <w:szCs w:val="24"/>
          <w:lang w:val="en-US"/>
        </w:rPr>
      </w:pPr>
    </w:p>
    <w:sectPr w:rsidR="000E749F" w:rsidRPr="000E749F" w:rsidSect="009362C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Yu Gothic UI"/>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000"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A561B"/>
    <w:multiLevelType w:val="hybridMultilevel"/>
    <w:tmpl w:val="D194C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4D"/>
    <w:rsid w:val="000E749F"/>
    <w:rsid w:val="00103C3C"/>
    <w:rsid w:val="0016074F"/>
    <w:rsid w:val="001E089D"/>
    <w:rsid w:val="002815C0"/>
    <w:rsid w:val="002B094D"/>
    <w:rsid w:val="002C3CBA"/>
    <w:rsid w:val="0040513D"/>
    <w:rsid w:val="0045167A"/>
    <w:rsid w:val="004B161F"/>
    <w:rsid w:val="004D2BFB"/>
    <w:rsid w:val="004D5D2A"/>
    <w:rsid w:val="00513E1F"/>
    <w:rsid w:val="005E32F5"/>
    <w:rsid w:val="005E5568"/>
    <w:rsid w:val="00685AB4"/>
    <w:rsid w:val="00860DD4"/>
    <w:rsid w:val="00892E32"/>
    <w:rsid w:val="008D4410"/>
    <w:rsid w:val="008E71CD"/>
    <w:rsid w:val="009362C3"/>
    <w:rsid w:val="00AD0463"/>
    <w:rsid w:val="00BC142F"/>
    <w:rsid w:val="00CB6C43"/>
    <w:rsid w:val="00D665A0"/>
    <w:rsid w:val="00D85006"/>
    <w:rsid w:val="00E1390A"/>
    <w:rsid w:val="00E37DF4"/>
    <w:rsid w:val="00F4523F"/>
    <w:rsid w:val="00F80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19C5"/>
  <w15:docId w15:val="{282783A0-7797-43A9-9D76-0E456149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5A0"/>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rsid w:val="002B094D"/>
    <w:pPr>
      <w:spacing w:line="360" w:lineRule="auto"/>
      <w:ind w:firstLine="567"/>
      <w:jc w:val="both"/>
    </w:pPr>
    <w:rPr>
      <w:rFonts w:eastAsia="Times New Roman"/>
      <w:sz w:val="28"/>
      <w:szCs w:val="24"/>
    </w:rPr>
  </w:style>
  <w:style w:type="character" w:customStyle="1" w:styleId="a4">
    <w:name w:val="Основной текст Знак"/>
    <w:link w:val="a3"/>
    <w:semiHidden/>
    <w:rsid w:val="002B094D"/>
    <w:rPr>
      <w:rFonts w:ascii="Times New Roman" w:eastAsia="Times New Roman" w:hAnsi="Times New Roman" w:cs="Times New Roman"/>
      <w:sz w:val="28"/>
      <w:szCs w:val="24"/>
    </w:rPr>
  </w:style>
  <w:style w:type="character" w:styleId="a5">
    <w:name w:val="Hyperlink"/>
    <w:uiPriority w:val="99"/>
    <w:unhideWhenUsed/>
    <w:rsid w:val="00685AB4"/>
    <w:rPr>
      <w:color w:val="0000FF"/>
      <w:u w:val="single"/>
    </w:rPr>
  </w:style>
  <w:style w:type="paragraph" w:customStyle="1" w:styleId="a6">
    <w:name w:val="Основной"/>
    <w:basedOn w:val="a"/>
    <w:uiPriority w:val="99"/>
    <w:rsid w:val="004B161F"/>
    <w:pPr>
      <w:tabs>
        <w:tab w:val="left" w:pos="8789"/>
      </w:tabs>
      <w:spacing w:line="360" w:lineRule="auto"/>
      <w:ind w:firstLine="709"/>
      <w:jc w:val="both"/>
    </w:pPr>
    <w:rPr>
      <w:rFonts w:eastAsia="Times New Roman"/>
      <w:kern w:val="28"/>
      <w:sz w:val="28"/>
      <w:szCs w:val="28"/>
    </w:rPr>
  </w:style>
  <w:style w:type="character" w:customStyle="1" w:styleId="jlqj4b">
    <w:name w:val="jlqj4b"/>
    <w:basedOn w:val="a0"/>
    <w:rsid w:val="000E749F"/>
  </w:style>
  <w:style w:type="character" w:styleId="a7">
    <w:name w:val="Strong"/>
    <w:basedOn w:val="a0"/>
    <w:uiPriority w:val="22"/>
    <w:qFormat/>
    <w:rsid w:val="000E749F"/>
    <w:rPr>
      <w:b/>
      <w:bCs/>
    </w:rPr>
  </w:style>
  <w:style w:type="character" w:styleId="a8">
    <w:name w:val="Emphasis"/>
    <w:basedOn w:val="a0"/>
    <w:uiPriority w:val="20"/>
    <w:qFormat/>
    <w:rsid w:val="000E7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МОВ</dc:creator>
  <cp:lastModifiedBy>Olga</cp:lastModifiedBy>
  <cp:revision>2</cp:revision>
  <dcterms:created xsi:type="dcterms:W3CDTF">2023-03-03T13:23:00Z</dcterms:created>
  <dcterms:modified xsi:type="dcterms:W3CDTF">2023-03-03T13:23:00Z</dcterms:modified>
</cp:coreProperties>
</file>